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4A" w:rsidRPr="00B31484" w:rsidRDefault="00B4434A" w:rsidP="00B4434A">
      <w:pPr>
        <w:spacing w:line="500" w:lineRule="exact"/>
        <w:jc w:val="center"/>
        <w:rPr>
          <w:rFonts w:ascii="宋体" w:eastAsia="宋体" w:cs="宋体"/>
          <w:b/>
          <w:bCs/>
          <w:color w:val="000000"/>
          <w:sz w:val="44"/>
          <w:szCs w:val="44"/>
        </w:rPr>
      </w:pPr>
      <w:r w:rsidRPr="00B31484">
        <w:rPr>
          <w:rFonts w:ascii="宋体" w:eastAsia="宋体" w:cs="宋体" w:hint="eastAsia"/>
          <w:b/>
          <w:bCs/>
          <w:color w:val="000000"/>
          <w:sz w:val="44"/>
          <w:szCs w:val="44"/>
        </w:rPr>
        <w:t>2018年</w:t>
      </w:r>
      <w:r>
        <w:rPr>
          <w:rFonts w:ascii="宋体" w:eastAsia="宋体" w:cs="宋体" w:hint="eastAsia"/>
          <w:b/>
          <w:bCs/>
          <w:color w:val="000000"/>
          <w:sz w:val="44"/>
          <w:szCs w:val="44"/>
        </w:rPr>
        <w:t>1-6月</w:t>
      </w:r>
    </w:p>
    <w:p w:rsidR="00B4434A" w:rsidRDefault="00B4434A" w:rsidP="00B4434A">
      <w:pPr>
        <w:spacing w:line="500" w:lineRule="exact"/>
        <w:jc w:val="center"/>
        <w:rPr>
          <w:rFonts w:ascii="宋体" w:eastAsia="宋体" w:cs="宋体" w:hint="eastAsia"/>
          <w:b/>
          <w:bCs/>
          <w:color w:val="000000"/>
          <w:sz w:val="44"/>
          <w:szCs w:val="44"/>
        </w:rPr>
      </w:pPr>
      <w:r>
        <w:rPr>
          <w:rFonts w:ascii="宋体" w:eastAsia="宋体" w:cs="宋体" w:hint="eastAsia"/>
          <w:b/>
          <w:bCs/>
          <w:color w:val="000000"/>
          <w:sz w:val="44"/>
          <w:szCs w:val="44"/>
        </w:rPr>
        <w:t>珲春林区基层</w:t>
      </w:r>
      <w:r w:rsidRPr="00B31484">
        <w:rPr>
          <w:rFonts w:ascii="宋体" w:eastAsia="宋体" w:cs="宋体" w:hint="eastAsia"/>
          <w:b/>
          <w:bCs/>
          <w:color w:val="000000"/>
          <w:sz w:val="44"/>
          <w:szCs w:val="44"/>
        </w:rPr>
        <w:t>法院审判运行态势</w:t>
      </w:r>
    </w:p>
    <w:p w:rsidR="00B4434A" w:rsidRPr="00B31484" w:rsidRDefault="00B4434A" w:rsidP="00B4434A">
      <w:pPr>
        <w:spacing w:line="500" w:lineRule="exact"/>
        <w:jc w:val="center"/>
        <w:rPr>
          <w:rFonts w:ascii="宋体" w:eastAsia="宋体" w:cs="宋体"/>
          <w:b/>
          <w:bCs/>
          <w:color w:val="000000"/>
          <w:sz w:val="44"/>
          <w:szCs w:val="44"/>
        </w:rPr>
      </w:pPr>
      <w:r w:rsidRPr="00B31484">
        <w:rPr>
          <w:rFonts w:ascii="宋体" w:eastAsia="宋体" w:cs="宋体" w:hint="eastAsia"/>
          <w:b/>
          <w:bCs/>
          <w:color w:val="000000"/>
          <w:sz w:val="44"/>
          <w:szCs w:val="44"/>
        </w:rPr>
        <w:t>分</w:t>
      </w:r>
      <w:r>
        <w:rPr>
          <w:rFonts w:ascii="宋体" w:eastAsia="宋体" w:cs="宋体" w:hint="eastAsia"/>
          <w:b/>
          <w:bCs/>
          <w:color w:val="000000"/>
          <w:sz w:val="44"/>
          <w:szCs w:val="44"/>
        </w:rPr>
        <w:t xml:space="preserve">  </w:t>
      </w:r>
      <w:r w:rsidRPr="00B31484">
        <w:rPr>
          <w:rFonts w:ascii="宋体" w:eastAsia="宋体" w:cs="宋体" w:hint="eastAsia"/>
          <w:b/>
          <w:bCs/>
          <w:color w:val="000000"/>
          <w:sz w:val="44"/>
          <w:szCs w:val="44"/>
        </w:rPr>
        <w:t>析</w:t>
      </w:r>
      <w:r>
        <w:rPr>
          <w:rFonts w:ascii="宋体" w:eastAsia="宋体" w:cs="宋体" w:hint="eastAsia"/>
          <w:b/>
          <w:bCs/>
          <w:color w:val="000000"/>
          <w:sz w:val="44"/>
          <w:szCs w:val="44"/>
        </w:rPr>
        <w:t xml:space="preserve">  </w:t>
      </w:r>
      <w:r w:rsidRPr="00B31484">
        <w:rPr>
          <w:rFonts w:ascii="宋体" w:eastAsia="宋体" w:cs="宋体" w:hint="eastAsia"/>
          <w:b/>
          <w:bCs/>
          <w:color w:val="000000"/>
          <w:sz w:val="44"/>
          <w:szCs w:val="44"/>
        </w:rPr>
        <w:t>报</w:t>
      </w:r>
      <w:r>
        <w:rPr>
          <w:rFonts w:ascii="宋体" w:eastAsia="宋体" w:cs="宋体" w:hint="eastAsia"/>
          <w:b/>
          <w:bCs/>
          <w:color w:val="000000"/>
          <w:sz w:val="44"/>
          <w:szCs w:val="44"/>
        </w:rPr>
        <w:t xml:space="preserve">  </w:t>
      </w:r>
      <w:r w:rsidRPr="00B31484">
        <w:rPr>
          <w:rFonts w:ascii="宋体" w:eastAsia="宋体" w:cs="宋体" w:hint="eastAsia"/>
          <w:b/>
          <w:bCs/>
          <w:color w:val="000000"/>
          <w:sz w:val="44"/>
          <w:szCs w:val="44"/>
        </w:rPr>
        <w:t>告</w:t>
      </w:r>
    </w:p>
    <w:p w:rsidR="00B4434A" w:rsidRPr="00B31484" w:rsidRDefault="00B4434A" w:rsidP="00B4434A">
      <w:pPr>
        <w:spacing w:line="360" w:lineRule="auto"/>
        <w:ind w:firstLineChars="200" w:firstLine="640"/>
        <w:rPr>
          <w:rFonts w:hAnsi="黑体" w:cs="黑体"/>
          <w:bCs/>
          <w:color w:val="000000"/>
        </w:rPr>
      </w:pPr>
    </w:p>
    <w:p w:rsidR="00B4434A" w:rsidRPr="00B31484" w:rsidRDefault="00B4434A" w:rsidP="00B4434A">
      <w:pPr>
        <w:spacing w:line="360" w:lineRule="auto"/>
        <w:ind w:firstLineChars="200" w:firstLine="640"/>
        <w:rPr>
          <w:rFonts w:ascii="黑体" w:eastAsia="黑体" w:hAnsi="黑体" w:cs="黑体"/>
          <w:bCs/>
          <w:color w:val="000000"/>
        </w:rPr>
      </w:pPr>
      <w:r>
        <w:rPr>
          <w:rFonts w:ascii="黑体" w:eastAsia="黑体" w:hAnsi="黑体" w:cs="黑体" w:hint="eastAsia"/>
          <w:bCs/>
          <w:color w:val="000000"/>
        </w:rPr>
        <w:t>一、珲春林区基层法院1-6月基础</w:t>
      </w:r>
      <w:r w:rsidRPr="00B31484">
        <w:rPr>
          <w:rFonts w:ascii="黑体" w:eastAsia="黑体" w:hAnsi="黑体" w:cs="黑体" w:hint="eastAsia"/>
          <w:bCs/>
          <w:color w:val="000000"/>
        </w:rPr>
        <w:t>审判数据及</w:t>
      </w:r>
      <w:r>
        <w:rPr>
          <w:rFonts w:ascii="黑体" w:eastAsia="黑体" w:hAnsi="黑体" w:cs="黑体" w:hint="eastAsia"/>
          <w:bCs/>
          <w:color w:val="000000"/>
        </w:rPr>
        <w:t>趋势特点</w:t>
      </w:r>
    </w:p>
    <w:p w:rsidR="00B4434A" w:rsidRDefault="00B4434A" w:rsidP="00B4434A">
      <w:pPr>
        <w:spacing w:line="360" w:lineRule="auto"/>
        <w:ind w:firstLineChars="196" w:firstLine="627"/>
        <w:rPr>
          <w:rFonts w:ascii="楷体_GB2312" w:eastAsia="楷体_GB2312" w:hAnsi="楷体" w:cs="黑体" w:hint="eastAsia"/>
          <w:b/>
          <w:bCs/>
          <w:color w:val="000000"/>
        </w:rPr>
      </w:pPr>
      <w:r w:rsidRPr="00963153">
        <w:rPr>
          <w:rFonts w:ascii="楷体_GB2312" w:eastAsia="楷体_GB2312" w:hAnsi="楷体" w:cs="黑体" w:hint="eastAsia"/>
          <w:b/>
          <w:bCs/>
          <w:color w:val="000000"/>
        </w:rPr>
        <w:t>（一）</w:t>
      </w:r>
      <w:r>
        <w:rPr>
          <w:rFonts w:ascii="楷体_GB2312" w:eastAsia="楷体_GB2312" w:hAnsi="楷体" w:cs="黑体" w:hint="eastAsia"/>
          <w:b/>
          <w:bCs/>
          <w:color w:val="000000"/>
        </w:rPr>
        <w:t>珲春林区基层</w:t>
      </w:r>
      <w:r w:rsidRPr="00963153">
        <w:rPr>
          <w:rFonts w:ascii="楷体_GB2312" w:eastAsia="楷体_GB2312" w:hAnsi="楷体" w:cs="黑体" w:hint="eastAsia"/>
          <w:b/>
          <w:bCs/>
          <w:color w:val="000000"/>
        </w:rPr>
        <w:t>法院收结案情况</w:t>
      </w:r>
    </w:p>
    <w:p w:rsidR="00B4434A" w:rsidRPr="00BE0E79" w:rsidRDefault="00B4434A" w:rsidP="00B4434A">
      <w:pPr>
        <w:spacing w:line="360" w:lineRule="auto"/>
        <w:ind w:firstLineChars="200" w:firstLine="640"/>
        <w:rPr>
          <w:rFonts w:hAnsi="仿宋_GB2312" w:cs="仿宋_GB2312" w:hint="eastAsia"/>
        </w:rPr>
      </w:pPr>
      <w:r>
        <w:rPr>
          <w:rFonts w:hAnsi="仿宋_GB2312" w:cs="仿宋_GB2312" w:hint="eastAsia"/>
          <w:color w:val="000000"/>
        </w:rPr>
        <w:t>1-6月</w:t>
      </w:r>
      <w:r w:rsidRPr="00B31484">
        <w:rPr>
          <w:rFonts w:hAnsi="仿宋_GB2312" w:cs="仿宋_GB2312" w:hint="eastAsia"/>
          <w:color w:val="000000"/>
        </w:rPr>
        <w:t>，</w:t>
      </w:r>
      <w:r>
        <w:rPr>
          <w:rFonts w:hAnsi="仿宋_GB2312" w:cs="仿宋_GB2312" w:hint="eastAsia"/>
          <w:color w:val="000000"/>
        </w:rPr>
        <w:t>珲春林区基</w:t>
      </w:r>
      <w:r w:rsidRPr="00064293">
        <w:rPr>
          <w:rFonts w:hAnsi="仿宋_GB2312" w:cs="仿宋_GB2312" w:hint="eastAsia"/>
        </w:rPr>
        <w:t>层法院受案总数为186件,同比下降42.59%，其中，诉讼案件111件，同比下降54.13%，在受案总数中占比59.68%，执行案件75件，同比上升17.19%，在受案总数中占比40.32%；旧存27件（诉讼6件、执行21件）,同比下降35.71%，新收159件</w:t>
      </w:r>
      <w:r w:rsidRPr="00064293">
        <w:rPr>
          <w:rFonts w:hAnsi="黑体" w:cs="仿宋_GB2312" w:hint="eastAsia"/>
        </w:rPr>
        <w:t>（诉讼104件、执行54件），</w:t>
      </w:r>
      <w:r w:rsidRPr="00064293">
        <w:rPr>
          <w:rFonts w:hAnsi="仿宋_GB2312" w:cs="仿宋_GB2312" w:hint="eastAsia"/>
        </w:rPr>
        <w:t>同比下降39.31%；</w:t>
      </w:r>
      <w:r w:rsidRPr="00B31484">
        <w:rPr>
          <w:rFonts w:hAnsi="仿宋_GB2312" w:cs="仿宋_GB2312" w:hint="eastAsia"/>
          <w:color w:val="000000"/>
        </w:rPr>
        <w:t>审结</w:t>
      </w:r>
      <w:r w:rsidRPr="00064293">
        <w:rPr>
          <w:rFonts w:hAnsi="仿宋_GB2312" w:cs="仿宋_GB2312" w:hint="eastAsia"/>
        </w:rPr>
        <w:t>156</w:t>
      </w:r>
      <w:r w:rsidRPr="00B31484">
        <w:rPr>
          <w:rFonts w:hAnsi="仿宋_GB2312" w:cs="仿宋_GB2312" w:hint="eastAsia"/>
          <w:color w:val="000000"/>
        </w:rPr>
        <w:t>件</w:t>
      </w:r>
      <w:r>
        <w:rPr>
          <w:rFonts w:hAnsi="仿宋_GB2312" w:cs="仿宋_GB2312" w:hint="eastAsia"/>
          <w:color w:val="000000"/>
        </w:rPr>
        <w:t>（诉讼97件、执行59件）</w:t>
      </w:r>
      <w:r w:rsidRPr="00B31484">
        <w:rPr>
          <w:rFonts w:hAnsi="仿宋_GB2312" w:cs="仿宋_GB2312" w:hint="eastAsia"/>
          <w:color w:val="000000"/>
        </w:rPr>
        <w:t>，同比</w:t>
      </w:r>
      <w:r w:rsidRPr="0045487B">
        <w:rPr>
          <w:rFonts w:hAnsi="仿宋_GB2312" w:cs="仿宋_GB2312" w:hint="eastAsia"/>
        </w:rPr>
        <w:t>下降23.15%，</w:t>
      </w:r>
      <w:r w:rsidRPr="00B31484">
        <w:rPr>
          <w:rFonts w:hAnsi="仿宋_GB2312" w:cs="仿宋_GB2312" w:hint="eastAsia"/>
          <w:color w:val="000000"/>
        </w:rPr>
        <w:t>未结</w:t>
      </w:r>
      <w:r w:rsidRPr="0045487B">
        <w:rPr>
          <w:rFonts w:hAnsi="仿宋_GB2312" w:cs="仿宋_GB2312" w:hint="eastAsia"/>
        </w:rPr>
        <w:t>30件</w:t>
      </w:r>
      <w:r w:rsidRPr="00B31484">
        <w:rPr>
          <w:rFonts w:hAnsi="仿宋_GB2312" w:cs="仿宋_GB2312" w:hint="eastAsia"/>
          <w:color w:val="000000"/>
        </w:rPr>
        <w:t>，同比</w:t>
      </w:r>
      <w:r w:rsidRPr="00064293">
        <w:rPr>
          <w:rFonts w:hAnsi="仿宋_GB2312" w:cs="仿宋_GB2312" w:hint="eastAsia"/>
        </w:rPr>
        <w:t>下降70.30%</w:t>
      </w:r>
      <w:r w:rsidR="00366574">
        <w:rPr>
          <w:rFonts w:hAnsi="仿宋_GB2312" w:cs="仿宋_GB2312" w:hint="eastAsia"/>
        </w:rPr>
        <w:t>（珲春林区基层法院2018年上半年收结存案件数量同比情况如图表一所示。）</w:t>
      </w:r>
      <w:r>
        <w:rPr>
          <w:rFonts w:hAnsi="仿宋_GB2312" w:cs="仿宋_GB2312" w:hint="eastAsia"/>
          <w:color w:val="000000"/>
        </w:rPr>
        <w:t>；</w:t>
      </w:r>
      <w:r w:rsidRPr="00B31484">
        <w:rPr>
          <w:rFonts w:hAnsi="仿宋_GB2312" w:cs="仿宋_GB2312" w:hint="eastAsia"/>
          <w:color w:val="000000"/>
        </w:rPr>
        <w:t>结案率为</w:t>
      </w:r>
      <w:r w:rsidRPr="00064293">
        <w:rPr>
          <w:rFonts w:hAnsi="仿宋_GB2312" w:cs="仿宋_GB2312" w:hint="eastAsia"/>
        </w:rPr>
        <w:t>83.87%，</w:t>
      </w:r>
      <w:r w:rsidRPr="00EC6610">
        <w:rPr>
          <w:rFonts w:hAnsi="仿宋_GB2312" w:cs="仿宋_GB2312" w:hint="eastAsia"/>
          <w:color w:val="000000"/>
        </w:rPr>
        <w:t>同比</w:t>
      </w:r>
      <w:r w:rsidRPr="0045487B">
        <w:rPr>
          <w:rFonts w:hAnsi="仿宋_GB2312" w:cs="仿宋_GB2312" w:hint="eastAsia"/>
        </w:rPr>
        <w:t>上升17.09</w:t>
      </w:r>
      <w:r w:rsidRPr="00EC6610">
        <w:rPr>
          <w:rFonts w:hAnsi="仿宋_GB2312" w:cs="仿宋_GB2312" w:hint="eastAsia"/>
          <w:color w:val="000000"/>
        </w:rPr>
        <w:t>个百分点</w:t>
      </w:r>
      <w:r>
        <w:rPr>
          <w:rFonts w:hAnsi="仿宋_GB2312" w:cs="仿宋_GB2312" w:hint="eastAsia"/>
          <w:color w:val="000000"/>
        </w:rPr>
        <w:t>，</w:t>
      </w:r>
      <w:r>
        <w:rPr>
          <w:rFonts w:hint="eastAsia"/>
        </w:rPr>
        <w:t>其中，诉讼案件结案率为</w:t>
      </w:r>
      <w:r w:rsidRPr="00064293">
        <w:rPr>
          <w:rFonts w:hint="eastAsia"/>
        </w:rPr>
        <w:t>87.39%，同比下降10.98</w:t>
      </w:r>
      <w:r>
        <w:rPr>
          <w:rFonts w:hint="eastAsia"/>
        </w:rPr>
        <w:t>个百分点，执行案件执结率为</w:t>
      </w:r>
      <w:r w:rsidRPr="00064293">
        <w:rPr>
          <w:rFonts w:hint="eastAsia"/>
        </w:rPr>
        <w:t>78.67%，</w:t>
      </w:r>
      <w:r>
        <w:rPr>
          <w:rFonts w:hint="eastAsia"/>
        </w:rPr>
        <w:t>同比</w:t>
      </w:r>
      <w:r w:rsidRPr="00064293">
        <w:rPr>
          <w:rFonts w:hint="eastAsia"/>
        </w:rPr>
        <w:t>上升17.19</w:t>
      </w:r>
      <w:r>
        <w:rPr>
          <w:rFonts w:hint="eastAsia"/>
        </w:rPr>
        <w:t>个</w:t>
      </w:r>
      <w:r>
        <w:rPr>
          <w:rFonts w:hint="eastAsia"/>
        </w:rPr>
        <w:lastRenderedPageBreak/>
        <w:t>百分点；</w:t>
      </w:r>
      <w:r w:rsidRPr="00B31484">
        <w:rPr>
          <w:rFonts w:hAnsi="仿宋_GB2312" w:cs="仿宋_GB2312" w:hint="eastAsia"/>
          <w:color w:val="000000"/>
        </w:rPr>
        <w:t>结收比为</w:t>
      </w:r>
      <w:r w:rsidRPr="00064293">
        <w:rPr>
          <w:rFonts w:hAnsi="仿宋_GB2312" w:cs="仿宋_GB2312" w:hint="eastAsia"/>
        </w:rPr>
        <w:t>98.11%；</w:t>
      </w:r>
      <w:r w:rsidRPr="00B31484">
        <w:rPr>
          <w:rFonts w:hAnsi="仿宋_GB2312" w:cs="仿宋_GB2312" w:hint="eastAsia"/>
          <w:color w:val="000000"/>
        </w:rPr>
        <w:t>平均审理天数</w:t>
      </w:r>
      <w:r w:rsidRPr="005E1C13">
        <w:rPr>
          <w:rFonts w:hAnsi="仿宋_GB2312" w:cs="仿宋_GB2312" w:hint="eastAsia"/>
        </w:rPr>
        <w:t>为24.8</w:t>
      </w:r>
      <w:r w:rsidRPr="00B31484">
        <w:rPr>
          <w:rFonts w:hAnsi="仿宋_GB2312" w:cs="仿宋_GB2312" w:hint="eastAsia"/>
          <w:color w:val="000000"/>
        </w:rPr>
        <w:t>天，同</w:t>
      </w:r>
      <w:r w:rsidRPr="005E1C13">
        <w:rPr>
          <w:rFonts w:hAnsi="仿宋_GB2312" w:cs="仿宋_GB2312" w:hint="eastAsia"/>
        </w:rPr>
        <w:t>比减少13.3天</w:t>
      </w:r>
      <w:r w:rsidR="004F0C21">
        <w:rPr>
          <w:rFonts w:hAnsi="仿宋_GB2312" w:cs="仿宋_GB2312" w:hint="eastAsia"/>
        </w:rPr>
        <w:t>（2018年上半年平均审理天数同比情况对比如图表二所示）</w:t>
      </w:r>
      <w:r w:rsidRPr="005E1C13">
        <w:rPr>
          <w:rFonts w:hAnsi="仿宋_GB2312" w:cs="仿宋_GB2312" w:hint="eastAsia"/>
        </w:rPr>
        <w:t>；</w:t>
      </w:r>
      <w:r>
        <w:rPr>
          <w:rFonts w:hAnsi="仿宋_GB2312" w:cs="仿宋_GB2312" w:hint="eastAsia"/>
          <w:color w:val="000000"/>
        </w:rPr>
        <w:t>人均受案</w:t>
      </w:r>
      <w:r w:rsidRPr="005E1C13">
        <w:rPr>
          <w:rFonts w:hAnsi="仿宋_GB2312" w:cs="仿宋_GB2312" w:hint="eastAsia"/>
        </w:rPr>
        <w:t>14.31</w:t>
      </w:r>
      <w:r>
        <w:rPr>
          <w:rFonts w:hAnsi="仿宋_GB2312" w:cs="仿宋_GB2312" w:hint="eastAsia"/>
          <w:color w:val="000000"/>
        </w:rPr>
        <w:t>件，</w:t>
      </w:r>
      <w:r w:rsidRPr="000D151C">
        <w:rPr>
          <w:rFonts w:hAnsi="仿宋_GB2312" w:cs="仿宋_GB2312" w:hint="eastAsia"/>
          <w:color w:val="000000"/>
        </w:rPr>
        <w:t>同比</w:t>
      </w:r>
      <w:r w:rsidRPr="00E4251B">
        <w:rPr>
          <w:rFonts w:hAnsi="仿宋_GB2312" w:cs="仿宋_GB2312" w:hint="eastAsia"/>
        </w:rPr>
        <w:t>减少9.07件</w:t>
      </w:r>
      <w:r>
        <w:rPr>
          <w:rFonts w:hAnsi="仿宋_GB2312" w:cs="仿宋_GB2312" w:hint="eastAsia"/>
          <w:color w:val="000000"/>
        </w:rPr>
        <w:t>，人均结</w:t>
      </w:r>
      <w:r w:rsidRPr="00E4251B">
        <w:rPr>
          <w:rFonts w:hAnsi="仿宋_GB2312" w:cs="仿宋_GB2312" w:hint="eastAsia"/>
        </w:rPr>
        <w:t>案12件</w:t>
      </w:r>
      <w:r>
        <w:rPr>
          <w:rFonts w:hAnsi="仿宋_GB2312" w:cs="仿宋_GB2312" w:hint="eastAsia"/>
          <w:color w:val="000000"/>
        </w:rPr>
        <w:t>，</w:t>
      </w:r>
      <w:r w:rsidRPr="000D151C">
        <w:rPr>
          <w:rFonts w:hAnsi="仿宋_GB2312" w:cs="仿宋_GB2312" w:hint="eastAsia"/>
          <w:color w:val="000000"/>
        </w:rPr>
        <w:t>同比</w:t>
      </w:r>
      <w:r>
        <w:rPr>
          <w:rFonts w:hAnsi="仿宋_GB2312" w:cs="仿宋_GB2312" w:hint="eastAsia"/>
          <w:color w:val="000000"/>
        </w:rPr>
        <w:t>减少3.62</w:t>
      </w:r>
      <w:r w:rsidRPr="00A575D6">
        <w:rPr>
          <w:rFonts w:hAnsi="仿宋_GB2312" w:cs="仿宋_GB2312" w:hint="eastAsia"/>
          <w:color w:val="000000"/>
        </w:rPr>
        <w:t>件</w:t>
      </w:r>
      <w:r>
        <w:rPr>
          <w:rFonts w:hAnsi="仿宋_GB2312" w:cs="仿宋_GB2312" w:hint="eastAsia"/>
          <w:color w:val="000000"/>
        </w:rPr>
        <w:t>。</w:t>
      </w:r>
      <w:r w:rsidRPr="00544FDE">
        <w:rPr>
          <w:rFonts w:hAnsi="仿宋_GB2312" w:cs="仿宋_GB2312" w:hint="eastAsia"/>
        </w:rPr>
        <w:t>6月份，本院收案11件，其中，诉讼案件7件，执行案件4件；审结61件，其中，诉讼案件25件，执行案件36件，6月份案件结收差值为50件，其中，诉讼案件结收差值为13件，执行案件结收差值为32件。</w:t>
      </w:r>
    </w:p>
    <w:p w:rsidR="00366574" w:rsidRDefault="00366574" w:rsidP="00366574">
      <w:pPr>
        <w:pStyle w:val="a6"/>
        <w:keepNext/>
        <w:ind w:firstLineChars="200" w:firstLine="560"/>
        <w:rPr>
          <w:rFonts w:ascii="黑体" w:hAnsi="黑体" w:hint="eastAsia"/>
          <w:sz w:val="28"/>
          <w:szCs w:val="28"/>
        </w:rPr>
      </w:pPr>
      <w:r w:rsidRPr="00366574">
        <w:rPr>
          <w:rFonts w:ascii="黑体" w:hAnsi="黑体" w:hint="eastAsia"/>
          <w:sz w:val="28"/>
          <w:szCs w:val="28"/>
        </w:rPr>
        <w:t xml:space="preserve">图表 </w:t>
      </w:r>
      <w:r w:rsidRPr="00366574">
        <w:rPr>
          <w:rFonts w:ascii="黑体" w:hAnsi="黑体"/>
          <w:sz w:val="28"/>
          <w:szCs w:val="28"/>
        </w:rPr>
        <w:fldChar w:fldCharType="begin"/>
      </w:r>
      <w:r w:rsidRPr="00366574">
        <w:rPr>
          <w:rFonts w:ascii="黑体" w:hAnsi="黑体"/>
          <w:sz w:val="28"/>
          <w:szCs w:val="28"/>
        </w:rPr>
        <w:instrText xml:space="preserve"> </w:instrText>
      </w:r>
      <w:r w:rsidRPr="00366574">
        <w:rPr>
          <w:rFonts w:ascii="黑体" w:hAnsi="黑体" w:hint="eastAsia"/>
          <w:sz w:val="28"/>
          <w:szCs w:val="28"/>
        </w:rPr>
        <w:instrText>SEQ 图表 \* ARABIC</w:instrText>
      </w:r>
      <w:r w:rsidRPr="00366574">
        <w:rPr>
          <w:rFonts w:ascii="黑体" w:hAnsi="黑体"/>
          <w:sz w:val="28"/>
          <w:szCs w:val="28"/>
        </w:rPr>
        <w:instrText xml:space="preserve"> </w:instrText>
      </w:r>
      <w:r w:rsidRPr="00366574">
        <w:rPr>
          <w:rFonts w:ascii="黑体" w:hAnsi="黑体"/>
          <w:sz w:val="28"/>
          <w:szCs w:val="28"/>
        </w:rPr>
        <w:fldChar w:fldCharType="separate"/>
      </w:r>
      <w:r w:rsidR="008E3885">
        <w:rPr>
          <w:rFonts w:ascii="黑体" w:hAnsi="黑体"/>
          <w:noProof/>
          <w:sz w:val="28"/>
          <w:szCs w:val="28"/>
        </w:rPr>
        <w:t>1</w:t>
      </w:r>
      <w:r w:rsidRPr="00366574">
        <w:rPr>
          <w:rFonts w:ascii="黑体" w:hAnsi="黑体"/>
          <w:sz w:val="28"/>
          <w:szCs w:val="28"/>
        </w:rPr>
        <w:fldChar w:fldCharType="end"/>
      </w:r>
    </w:p>
    <w:p w:rsidR="00366574" w:rsidRPr="00366574" w:rsidRDefault="00366574" w:rsidP="00366574">
      <w:pPr>
        <w:pStyle w:val="a6"/>
        <w:keepNext/>
        <w:ind w:firstLineChars="200" w:firstLine="560"/>
        <w:rPr>
          <w:rFonts w:ascii="黑体" w:hAnsi="黑体"/>
          <w:sz w:val="28"/>
          <w:szCs w:val="28"/>
        </w:rPr>
      </w:pPr>
      <w:r w:rsidRPr="00366574">
        <w:rPr>
          <w:rFonts w:ascii="黑体" w:hAnsi="黑体" w:hint="eastAsia"/>
          <w:sz w:val="28"/>
          <w:szCs w:val="28"/>
        </w:rPr>
        <w:t>珲春林区基层法院2018年上半年收结存案件数量同比情况</w:t>
      </w:r>
    </w:p>
    <w:p w:rsidR="00366574" w:rsidRPr="00366574" w:rsidRDefault="00B4434A" w:rsidP="00366574">
      <w:pPr>
        <w:keepNext/>
        <w:spacing w:line="360" w:lineRule="auto"/>
        <w:rPr>
          <w:rFonts w:hint="eastAsia"/>
        </w:rPr>
      </w:pPr>
      <w:r>
        <w:rPr>
          <w:rFonts w:hAnsi="仿宋_GB2312" w:cs="仿宋_GB2312" w:hint="eastAsia"/>
          <w:noProof/>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66574" w:rsidRDefault="00366574" w:rsidP="00366574">
      <w:pPr>
        <w:spacing w:line="360" w:lineRule="auto"/>
        <w:rPr>
          <w:rFonts w:hAnsi="仿宋_GB2312" w:cs="仿宋_GB2312" w:hint="eastAsia"/>
        </w:rPr>
      </w:pPr>
    </w:p>
    <w:p w:rsidR="004F0C21" w:rsidRPr="004F0C21" w:rsidRDefault="004F0C21" w:rsidP="008E3885">
      <w:pPr>
        <w:pStyle w:val="a6"/>
        <w:keepNext/>
        <w:ind w:firstLineChars="350" w:firstLine="980"/>
        <w:rPr>
          <w:rFonts w:ascii="黑体" w:hAnsi="黑体"/>
          <w:sz w:val="28"/>
          <w:szCs w:val="28"/>
        </w:rPr>
      </w:pPr>
      <w:r w:rsidRPr="004F0C21">
        <w:rPr>
          <w:rFonts w:ascii="黑体" w:hAnsi="黑体" w:hint="eastAsia"/>
          <w:sz w:val="28"/>
          <w:szCs w:val="28"/>
        </w:rPr>
        <w:lastRenderedPageBreak/>
        <w:t xml:space="preserve">图表 </w:t>
      </w:r>
      <w:r w:rsidRPr="004F0C21">
        <w:rPr>
          <w:rFonts w:ascii="黑体" w:hAnsi="黑体"/>
          <w:sz w:val="28"/>
          <w:szCs w:val="28"/>
        </w:rPr>
        <w:fldChar w:fldCharType="begin"/>
      </w:r>
      <w:r w:rsidRPr="004F0C21">
        <w:rPr>
          <w:rFonts w:ascii="黑体" w:hAnsi="黑体"/>
          <w:sz w:val="28"/>
          <w:szCs w:val="28"/>
        </w:rPr>
        <w:instrText xml:space="preserve"> </w:instrText>
      </w:r>
      <w:r w:rsidRPr="004F0C21">
        <w:rPr>
          <w:rFonts w:ascii="黑体" w:hAnsi="黑体" w:hint="eastAsia"/>
          <w:sz w:val="28"/>
          <w:szCs w:val="28"/>
        </w:rPr>
        <w:instrText>SEQ 图表 \* ARABIC</w:instrText>
      </w:r>
      <w:r w:rsidRPr="004F0C21">
        <w:rPr>
          <w:rFonts w:ascii="黑体" w:hAnsi="黑体"/>
          <w:sz w:val="28"/>
          <w:szCs w:val="28"/>
        </w:rPr>
        <w:instrText xml:space="preserve"> </w:instrText>
      </w:r>
      <w:r w:rsidRPr="004F0C21">
        <w:rPr>
          <w:rFonts w:ascii="黑体" w:hAnsi="黑体"/>
          <w:sz w:val="28"/>
          <w:szCs w:val="28"/>
        </w:rPr>
        <w:fldChar w:fldCharType="separate"/>
      </w:r>
      <w:r w:rsidR="008E3885">
        <w:rPr>
          <w:rFonts w:ascii="黑体" w:hAnsi="黑体"/>
          <w:noProof/>
          <w:sz w:val="28"/>
          <w:szCs w:val="28"/>
        </w:rPr>
        <w:t>2</w:t>
      </w:r>
      <w:r w:rsidRPr="004F0C21">
        <w:rPr>
          <w:rFonts w:ascii="黑体" w:hAnsi="黑体"/>
          <w:sz w:val="28"/>
          <w:szCs w:val="28"/>
        </w:rPr>
        <w:fldChar w:fldCharType="end"/>
      </w:r>
    </w:p>
    <w:p w:rsidR="00366574" w:rsidRDefault="00366574" w:rsidP="00366574">
      <w:pPr>
        <w:spacing w:line="360" w:lineRule="auto"/>
        <w:rPr>
          <w:rFonts w:hAnsi="仿宋_GB2312" w:cs="仿宋_GB2312" w:hint="eastAsia"/>
        </w:rPr>
      </w:pPr>
      <w:r>
        <w:rPr>
          <w:rFonts w:hAnsi="仿宋_GB2312" w:cs="仿宋_GB2312" w:hint="eastAsia"/>
          <w:noProo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434A" w:rsidRPr="00544FDE" w:rsidRDefault="00B4434A" w:rsidP="008E3885">
      <w:pPr>
        <w:spacing w:line="360" w:lineRule="auto"/>
        <w:ind w:firstLineChars="200" w:firstLine="640"/>
        <w:rPr>
          <w:rFonts w:hAnsi="仿宋_GB2312" w:cs="仿宋_GB2312" w:hint="eastAsia"/>
        </w:rPr>
      </w:pPr>
      <w:r w:rsidRPr="00544FDE">
        <w:rPr>
          <w:rFonts w:hAnsi="仿宋_GB2312" w:cs="仿宋_GB2312" w:hint="eastAsia"/>
        </w:rPr>
        <w:t>从数据分析看，与去年同期相比，珲春林区基层法院诉讼案件旧存</w:t>
      </w:r>
      <w:r>
        <w:rPr>
          <w:rFonts w:hAnsi="仿宋_GB2312" w:cs="仿宋_GB2312" w:hint="eastAsia"/>
        </w:rPr>
        <w:t>案件基本持平，</w:t>
      </w:r>
      <w:r w:rsidRPr="00544FDE">
        <w:rPr>
          <w:rFonts w:hAnsi="仿宋_GB2312" w:cs="仿宋_GB2312" w:hint="eastAsia"/>
        </w:rPr>
        <w:t>新收、未结和已结案件均呈下降趋势，执行案件五项数据</w:t>
      </w:r>
      <w:r>
        <w:rPr>
          <w:rFonts w:hAnsi="仿宋_GB2312" w:cs="仿宋_GB2312" w:hint="eastAsia"/>
        </w:rPr>
        <w:t>照比同期和第一季度</w:t>
      </w:r>
      <w:r w:rsidRPr="00544FDE">
        <w:rPr>
          <w:rFonts w:hAnsi="仿宋_GB2312" w:cs="仿宋_GB2312" w:hint="eastAsia"/>
        </w:rPr>
        <w:t>都有明显增幅，平均审理天数优于去年同期，</w:t>
      </w:r>
      <w:r>
        <w:rPr>
          <w:rFonts w:hAnsi="仿宋_GB2312" w:cs="仿宋_GB2312" w:hint="eastAsia"/>
        </w:rPr>
        <w:t>但人均结案、人均受案</w:t>
      </w:r>
      <w:r w:rsidRPr="00544FDE">
        <w:rPr>
          <w:rFonts w:hAnsi="仿宋_GB2312" w:cs="仿宋_GB2312" w:hint="eastAsia"/>
        </w:rPr>
        <w:t>总体情况偏低，我院结案</w:t>
      </w:r>
      <w:r>
        <w:rPr>
          <w:rFonts w:hAnsi="仿宋_GB2312" w:cs="仿宋_GB2312" w:hint="eastAsia"/>
        </w:rPr>
        <w:t>率应</w:t>
      </w:r>
      <w:r w:rsidRPr="00544FDE">
        <w:rPr>
          <w:rFonts w:hAnsi="仿宋_GB2312" w:cs="仿宋_GB2312" w:hint="eastAsia"/>
        </w:rPr>
        <w:t>进一步提升。</w:t>
      </w:r>
    </w:p>
    <w:p w:rsidR="00B4434A" w:rsidRPr="008361BB" w:rsidRDefault="00B4434A" w:rsidP="00B4434A">
      <w:pPr>
        <w:spacing w:line="360" w:lineRule="auto"/>
        <w:ind w:firstLineChars="200" w:firstLine="640"/>
        <w:jc w:val="left"/>
        <w:rPr>
          <w:rFonts w:ascii="楷体_GB2312" w:eastAsia="楷体_GB2312" w:hAnsi="楷体"/>
          <w:b/>
        </w:rPr>
      </w:pPr>
      <w:r w:rsidRPr="008361BB">
        <w:rPr>
          <w:rFonts w:ascii="楷体_GB2312" w:eastAsia="楷体_GB2312" w:hAnsi="楷体" w:hint="eastAsia"/>
          <w:b/>
        </w:rPr>
        <w:t>（二）审判质量效果情况</w:t>
      </w:r>
    </w:p>
    <w:p w:rsidR="00B4434A" w:rsidRPr="00B31484" w:rsidRDefault="00B4434A" w:rsidP="00B4434A">
      <w:pPr>
        <w:spacing w:line="360" w:lineRule="auto"/>
        <w:ind w:firstLineChars="196" w:firstLine="627"/>
        <w:rPr>
          <w:rFonts w:hAnsi="仿宋"/>
        </w:rPr>
      </w:pPr>
      <w:r>
        <w:rPr>
          <w:rFonts w:hAnsi="仿宋" w:hint="eastAsia"/>
          <w:b/>
        </w:rPr>
        <w:t>1</w:t>
      </w:r>
      <w:r w:rsidRPr="00B31484">
        <w:rPr>
          <w:rFonts w:hAnsi="仿宋" w:hint="eastAsia"/>
          <w:b/>
        </w:rPr>
        <w:t>.一审案件服判息诉</w:t>
      </w:r>
      <w:r>
        <w:rPr>
          <w:rFonts w:hAnsi="仿宋" w:hint="eastAsia"/>
          <w:b/>
        </w:rPr>
        <w:t>情况</w:t>
      </w:r>
      <w:r w:rsidRPr="00B31484">
        <w:rPr>
          <w:rFonts w:hAnsi="仿宋" w:hint="eastAsia"/>
          <w:b/>
        </w:rPr>
        <w:t>。</w:t>
      </w:r>
      <w:r>
        <w:rPr>
          <w:rFonts w:hAnsi="仿宋" w:hint="eastAsia"/>
        </w:rPr>
        <w:t>1-6月</w:t>
      </w:r>
      <w:r w:rsidRPr="00B31484">
        <w:rPr>
          <w:rFonts w:hAnsi="仿宋" w:hint="eastAsia"/>
        </w:rPr>
        <w:t>，</w:t>
      </w:r>
      <w:r>
        <w:rPr>
          <w:rFonts w:hAnsi="仿宋" w:hint="eastAsia"/>
        </w:rPr>
        <w:t>珲春林区基层</w:t>
      </w:r>
      <w:r w:rsidRPr="00B31484">
        <w:rPr>
          <w:rFonts w:hAnsi="仿宋" w:hint="eastAsia"/>
        </w:rPr>
        <w:t>法院一审案件服判息诉率为</w:t>
      </w:r>
      <w:r w:rsidRPr="00AC318E">
        <w:rPr>
          <w:rFonts w:hAnsi="仿宋" w:hint="eastAsia"/>
        </w:rPr>
        <w:t>94.44%，</w:t>
      </w:r>
      <w:r w:rsidRPr="00B31484">
        <w:rPr>
          <w:rFonts w:hAnsi="仿宋" w:hint="eastAsia"/>
        </w:rPr>
        <w:t>同比</w:t>
      </w:r>
      <w:r w:rsidRPr="00AC318E">
        <w:rPr>
          <w:rFonts w:hAnsi="仿宋" w:hint="eastAsia"/>
        </w:rPr>
        <w:t>下降2.80个百分点，</w:t>
      </w:r>
      <w:r>
        <w:rPr>
          <w:rFonts w:hAnsi="仿宋" w:hint="eastAsia"/>
        </w:rPr>
        <w:t>其中，</w:t>
      </w:r>
      <w:r w:rsidRPr="00743807">
        <w:rPr>
          <w:rFonts w:hAnsi="仿宋" w:hint="eastAsia"/>
        </w:rPr>
        <w:t>刑事一审案件服判息诉率为</w:t>
      </w:r>
      <w:r w:rsidRPr="00AC318E">
        <w:rPr>
          <w:rFonts w:hAnsi="仿宋" w:hint="eastAsia"/>
        </w:rPr>
        <w:t>100.00%</w:t>
      </w:r>
      <w:r w:rsidRPr="003D20DD">
        <w:rPr>
          <w:rFonts w:hAnsi="仿宋" w:hint="eastAsia"/>
        </w:rPr>
        <w:t>，同</w:t>
      </w:r>
      <w:r w:rsidRPr="00AC318E">
        <w:rPr>
          <w:rFonts w:hAnsi="仿宋" w:hint="eastAsia"/>
        </w:rPr>
        <w:t>比上升6.67</w:t>
      </w:r>
      <w:r w:rsidRPr="003D20DD">
        <w:rPr>
          <w:rFonts w:hAnsi="仿宋" w:hint="eastAsia"/>
        </w:rPr>
        <w:lastRenderedPageBreak/>
        <w:t>个百分点；</w:t>
      </w:r>
      <w:r w:rsidRPr="00743807">
        <w:rPr>
          <w:rFonts w:hAnsi="仿宋" w:hint="eastAsia"/>
        </w:rPr>
        <w:t>民事一审案件服判息诉率为</w:t>
      </w:r>
      <w:r w:rsidRPr="00AC318E">
        <w:rPr>
          <w:rFonts w:hAnsi="仿宋" w:hint="eastAsia"/>
        </w:rPr>
        <w:t>93.59%，</w:t>
      </w:r>
      <w:r w:rsidRPr="003D20DD">
        <w:rPr>
          <w:rFonts w:hAnsi="仿宋" w:hint="eastAsia"/>
        </w:rPr>
        <w:t>同</w:t>
      </w:r>
      <w:r w:rsidRPr="00AC318E">
        <w:rPr>
          <w:rFonts w:hAnsi="仿宋" w:hint="eastAsia"/>
        </w:rPr>
        <w:t>比下降3.99个百分点。</w:t>
      </w:r>
    </w:p>
    <w:p w:rsidR="00B4434A" w:rsidRPr="00AC318E" w:rsidRDefault="00B4434A" w:rsidP="00B4434A">
      <w:pPr>
        <w:spacing w:line="360" w:lineRule="auto"/>
        <w:ind w:firstLineChars="196" w:firstLine="627"/>
        <w:jc w:val="left"/>
        <w:rPr>
          <w:rFonts w:hAnsi="楷体" w:cs="仿宋_GB2312"/>
          <w:b/>
        </w:rPr>
      </w:pPr>
      <w:r w:rsidRPr="00AC318E">
        <w:rPr>
          <w:rFonts w:hAnsi="仿宋_GB2312" w:cs="仿宋_GB2312" w:hint="eastAsia"/>
        </w:rPr>
        <w:t>从数据分析看，1-6月本院刑事一审案件服判息诉率同比趋势上升，有利于缓解中院、省院等上级法院的案件压力，要在此基础上进一步强化服判息诉工作，民事一审案件服判息诉率同比趋势下降，要认真分析原因，研究实质举措。</w:t>
      </w:r>
    </w:p>
    <w:p w:rsidR="00B4434A" w:rsidRPr="00B31484" w:rsidRDefault="00B4434A" w:rsidP="00B4434A">
      <w:pPr>
        <w:spacing w:line="360" w:lineRule="auto"/>
        <w:ind w:firstLineChars="196" w:firstLine="627"/>
        <w:rPr>
          <w:rFonts w:hAnsi="黑体"/>
        </w:rPr>
      </w:pPr>
      <w:r>
        <w:rPr>
          <w:rFonts w:hAnsi="黑体" w:hint="eastAsia"/>
          <w:b/>
        </w:rPr>
        <w:t>2</w:t>
      </w:r>
      <w:r w:rsidRPr="00B31484">
        <w:rPr>
          <w:rFonts w:hAnsi="黑体" w:hint="eastAsia"/>
          <w:b/>
        </w:rPr>
        <w:t>.生效案件</w:t>
      </w:r>
      <w:r w:rsidRPr="00B31484">
        <w:rPr>
          <w:rFonts w:hAnsi="黑体" w:cs="仿宋_GB2312" w:hint="eastAsia"/>
          <w:b/>
        </w:rPr>
        <w:t>申请再审、申诉</w:t>
      </w:r>
      <w:r>
        <w:rPr>
          <w:rFonts w:hAnsi="黑体" w:cs="仿宋_GB2312" w:hint="eastAsia"/>
          <w:b/>
        </w:rPr>
        <w:t>情况</w:t>
      </w:r>
      <w:r w:rsidRPr="00B31484">
        <w:rPr>
          <w:rFonts w:hAnsi="黑体" w:cs="仿宋_GB2312" w:hint="eastAsia"/>
          <w:b/>
        </w:rPr>
        <w:t>。</w:t>
      </w:r>
      <w:r>
        <w:rPr>
          <w:rFonts w:hAnsi="黑体" w:hint="eastAsia"/>
        </w:rPr>
        <w:t>1-6月，珲春林区基层</w:t>
      </w:r>
      <w:r w:rsidRPr="00B31484">
        <w:rPr>
          <w:rFonts w:hAnsi="黑体" w:hint="eastAsia"/>
        </w:rPr>
        <w:t>法院生效案件</w:t>
      </w:r>
      <w:r w:rsidRPr="00F759FC">
        <w:rPr>
          <w:rFonts w:hAnsi="黑体" w:hint="eastAsia"/>
        </w:rPr>
        <w:t>申请再审、申诉率</w:t>
      </w:r>
      <w:r w:rsidRPr="00B31484">
        <w:rPr>
          <w:rFonts w:hAnsi="黑体" w:hint="eastAsia"/>
        </w:rPr>
        <w:t>为</w:t>
      </w:r>
      <w:r w:rsidRPr="00567253">
        <w:rPr>
          <w:rFonts w:hAnsi="黑体" w:hint="eastAsia"/>
        </w:rPr>
        <w:t>5.95%，同比上升5.39</w:t>
      </w:r>
      <w:r w:rsidRPr="00B31484">
        <w:rPr>
          <w:rFonts w:hAnsi="黑体" w:hint="eastAsia"/>
        </w:rPr>
        <w:t>个百分点，</w:t>
      </w:r>
      <w:r>
        <w:rPr>
          <w:rFonts w:hAnsi="黑体" w:hint="eastAsia"/>
        </w:rPr>
        <w:t>其中，案件全部为民事案件。</w:t>
      </w:r>
    </w:p>
    <w:p w:rsidR="00B4434A" w:rsidRPr="00567253" w:rsidRDefault="00B4434A" w:rsidP="00B4434A">
      <w:pPr>
        <w:spacing w:line="360" w:lineRule="auto"/>
        <w:ind w:firstLineChars="196" w:firstLine="627"/>
        <w:rPr>
          <w:rFonts w:hAnsi="黑体" w:cs="仿宋_GB2312"/>
        </w:rPr>
      </w:pPr>
      <w:r w:rsidRPr="00567253">
        <w:rPr>
          <w:rFonts w:hAnsi="黑体" w:cs="仿宋_GB2312" w:hint="eastAsia"/>
        </w:rPr>
        <w:t>从数据分析看，民事案件同比情况呈上升趋势，反映出裁判质量有所提升，暂未达到考核要求，比率过高，因此，尚待加强裁判文书说理，统一裁判尺度，做好判后答疑和释法明理，有效提高案件裁判质量。</w:t>
      </w:r>
    </w:p>
    <w:p w:rsidR="00B4434A" w:rsidRPr="00B31484" w:rsidRDefault="00B4434A" w:rsidP="00B4434A">
      <w:pPr>
        <w:spacing w:line="360" w:lineRule="auto"/>
        <w:ind w:firstLineChars="196" w:firstLine="627"/>
        <w:jc w:val="left"/>
        <w:rPr>
          <w:rFonts w:hAnsi="黑体"/>
        </w:rPr>
      </w:pPr>
      <w:r>
        <w:rPr>
          <w:rFonts w:hAnsi="黑体" w:cs="仿宋_GB2312" w:hint="eastAsia"/>
          <w:b/>
        </w:rPr>
        <w:t>3</w:t>
      </w:r>
      <w:r w:rsidRPr="00B31484">
        <w:rPr>
          <w:rFonts w:hAnsi="黑体" w:hint="eastAsia"/>
        </w:rPr>
        <w:t>.</w:t>
      </w:r>
      <w:r w:rsidRPr="00B31484">
        <w:rPr>
          <w:rFonts w:hAnsi="黑体" w:cs="仿宋_GB2312" w:hint="eastAsia"/>
          <w:b/>
        </w:rPr>
        <w:t>改判、发回重审、指令再审案件情况。</w:t>
      </w:r>
      <w:r>
        <w:rPr>
          <w:rFonts w:hAnsi="黑体" w:cs="仿宋_GB2312" w:hint="eastAsia"/>
        </w:rPr>
        <w:t>1-6月</w:t>
      </w:r>
      <w:r w:rsidRPr="00B31484">
        <w:rPr>
          <w:rFonts w:hAnsi="黑体" w:cs="仿宋_GB2312" w:hint="eastAsia"/>
        </w:rPr>
        <w:t>，</w:t>
      </w:r>
      <w:r>
        <w:rPr>
          <w:rFonts w:hAnsi="黑体" w:hint="eastAsia"/>
        </w:rPr>
        <w:t>珲春林</w:t>
      </w:r>
      <w:r w:rsidRPr="00C7113B">
        <w:rPr>
          <w:rFonts w:hAnsi="黑体" w:hint="eastAsia"/>
        </w:rPr>
        <w:t>区基层法院改判、发回重审、指令再审案件总计2件（改判2件、发回重审0件、指令再审0件）</w:t>
      </w:r>
      <w:r>
        <w:rPr>
          <w:rFonts w:hAnsi="黑体" w:hint="eastAsia"/>
        </w:rPr>
        <w:t>，比去年多一件。</w:t>
      </w:r>
      <w:r>
        <w:rPr>
          <w:rFonts w:hAnsi="黑体" w:hint="eastAsia"/>
        </w:rPr>
        <w:lastRenderedPageBreak/>
        <w:t>一审案件</w:t>
      </w:r>
      <w:r w:rsidRPr="001A173D">
        <w:rPr>
          <w:rFonts w:hAnsi="黑体" w:hint="eastAsia"/>
        </w:rPr>
        <w:t>发改率为1.80%，同比上升1.26个百分点</w:t>
      </w:r>
      <w:r>
        <w:rPr>
          <w:rFonts w:hAnsi="黑体" w:hint="eastAsia"/>
        </w:rPr>
        <w:t>。</w:t>
      </w:r>
    </w:p>
    <w:p w:rsidR="00B4434A" w:rsidRPr="00791946" w:rsidRDefault="00B4434A" w:rsidP="00B4434A">
      <w:pPr>
        <w:spacing w:line="360" w:lineRule="auto"/>
        <w:ind w:firstLineChars="200" w:firstLine="640"/>
        <w:rPr>
          <w:rFonts w:hAnsi="黑体"/>
        </w:rPr>
      </w:pPr>
      <w:r w:rsidRPr="00791946">
        <w:rPr>
          <w:rFonts w:hAnsi="黑体" w:hint="eastAsia"/>
        </w:rPr>
        <w:t>从数据分析看，发改率同比微升，反映生效案件质量相对稳定。为着力提升案件质量，本院对发改指案件进行全面评查，通过案件评查工作有效统一裁判尺度，促进办案法官汲取经验教训，使法官以“打铁还需自身硬”的职业精神履行好审判职责。</w:t>
      </w:r>
    </w:p>
    <w:p w:rsidR="00B4434A" w:rsidRPr="00685BD7" w:rsidRDefault="00B4434A" w:rsidP="00B4434A">
      <w:pPr>
        <w:spacing w:line="360" w:lineRule="auto"/>
        <w:ind w:firstLineChars="196" w:firstLine="627"/>
        <w:jc w:val="left"/>
        <w:rPr>
          <w:rFonts w:ascii="楷体_GB2312" w:eastAsia="楷体_GB2312" w:hAnsi="楷体"/>
          <w:b/>
        </w:rPr>
      </w:pPr>
      <w:r w:rsidRPr="00685BD7">
        <w:rPr>
          <w:rFonts w:ascii="楷体_GB2312" w:eastAsia="楷体_GB2312" w:hAnsi="楷体" w:hint="eastAsia"/>
          <w:b/>
        </w:rPr>
        <w:t>（三）司法责任制重点工作情况</w:t>
      </w:r>
    </w:p>
    <w:p w:rsidR="00B4434A" w:rsidRPr="00B31484" w:rsidRDefault="00B4434A" w:rsidP="00B4434A">
      <w:pPr>
        <w:spacing w:line="360" w:lineRule="auto"/>
        <w:ind w:firstLineChars="196" w:firstLine="627"/>
        <w:jc w:val="left"/>
        <w:rPr>
          <w:rFonts w:hAnsi="仿宋"/>
        </w:rPr>
      </w:pPr>
      <w:r>
        <w:rPr>
          <w:rFonts w:hAnsi="仿宋" w:hint="eastAsia"/>
          <w:b/>
        </w:rPr>
        <w:t>1</w:t>
      </w:r>
      <w:r w:rsidRPr="00B31484">
        <w:rPr>
          <w:rFonts w:hAnsi="仿宋" w:hint="eastAsia"/>
          <w:b/>
        </w:rPr>
        <w:t>.入额院领导办案情况。</w:t>
      </w:r>
      <w:r>
        <w:rPr>
          <w:rFonts w:hAnsi="Times New Roman" w:hint="eastAsia"/>
        </w:rPr>
        <w:t>珲春林区基层</w:t>
      </w:r>
      <w:r w:rsidRPr="00B31484">
        <w:rPr>
          <w:rFonts w:hAnsi="Times New Roman" w:hint="eastAsia"/>
        </w:rPr>
        <w:t>法院入额院领导现</w:t>
      </w:r>
      <w:r w:rsidRPr="00B46145">
        <w:rPr>
          <w:rFonts w:hAnsi="Times New Roman" w:hint="eastAsia"/>
        </w:rPr>
        <w:t>有4</w:t>
      </w:r>
      <w:r>
        <w:rPr>
          <w:rFonts w:hAnsi="Times New Roman" w:hint="eastAsia"/>
        </w:rPr>
        <w:t>人，占本</w:t>
      </w:r>
      <w:r w:rsidRPr="00B46145">
        <w:rPr>
          <w:rFonts w:hAnsi="Times New Roman" w:hint="eastAsia"/>
        </w:rPr>
        <w:t>院入额法官总数的30.77%</w:t>
      </w:r>
      <w:r w:rsidRPr="00B31484">
        <w:rPr>
          <w:rFonts w:hAnsi="Times New Roman" w:hint="eastAsia"/>
        </w:rPr>
        <w:t>，</w:t>
      </w:r>
      <w:r>
        <w:rPr>
          <w:rFonts w:hAnsi="Times New Roman" w:hint="eastAsia"/>
        </w:rPr>
        <w:t>1-6月</w:t>
      </w:r>
      <w:r w:rsidRPr="00B31484">
        <w:rPr>
          <w:rFonts w:hAnsi="Times New Roman" w:hint="eastAsia"/>
        </w:rPr>
        <w:t>受理案</w:t>
      </w:r>
      <w:r w:rsidRPr="00B46145">
        <w:rPr>
          <w:rFonts w:hAnsi="Times New Roman" w:hint="eastAsia"/>
        </w:rPr>
        <w:t>件20件，</w:t>
      </w:r>
      <w:r>
        <w:rPr>
          <w:rFonts w:hAnsi="Times New Roman" w:hint="eastAsia"/>
        </w:rPr>
        <w:t>占本</w:t>
      </w:r>
      <w:r w:rsidRPr="00B31484">
        <w:rPr>
          <w:rFonts w:hAnsi="Times New Roman" w:hint="eastAsia"/>
        </w:rPr>
        <w:t>院受案总数</w:t>
      </w:r>
      <w:r w:rsidRPr="00B46145">
        <w:rPr>
          <w:rFonts w:hAnsi="Times New Roman" w:hint="eastAsia"/>
        </w:rPr>
        <w:t>的10.75%，其中，受理重点类型案件2件，占</w:t>
      </w:r>
      <w:r w:rsidRPr="001440CB">
        <w:rPr>
          <w:rFonts w:hAnsi="Times New Roman" w:hint="eastAsia"/>
        </w:rPr>
        <w:t>入额院领导受案总数的10.00%,审执结17件，占本院结案总数的10.90%，结案率为85.00%，人均受案5件，人均结案4.25件。入额院领导在执行攻坚期间承办的执行案件计入办案数量。</w:t>
      </w:r>
    </w:p>
    <w:p w:rsidR="00B4434A" w:rsidRPr="00791946" w:rsidRDefault="00B4434A" w:rsidP="00B4434A">
      <w:pPr>
        <w:spacing w:line="360" w:lineRule="auto"/>
        <w:ind w:firstLineChars="196" w:firstLine="627"/>
        <w:rPr>
          <w:rFonts w:hAnsi="仿宋"/>
        </w:rPr>
      </w:pPr>
      <w:r w:rsidRPr="00791946">
        <w:rPr>
          <w:rFonts w:hAnsi="黑体" w:hint="eastAsia"/>
          <w:b/>
        </w:rPr>
        <w:t>2.审委会工作情况。</w:t>
      </w:r>
      <w:r w:rsidRPr="00791946">
        <w:rPr>
          <w:rFonts w:hAnsi="仿宋" w:hint="eastAsia"/>
        </w:rPr>
        <w:t>1-6本院共召开审委会</w:t>
      </w:r>
      <w:r>
        <w:rPr>
          <w:rFonts w:hAnsi="仿宋" w:hint="eastAsia"/>
        </w:rPr>
        <w:t>11</w:t>
      </w:r>
      <w:r w:rsidRPr="00791946">
        <w:rPr>
          <w:rFonts w:hAnsi="仿宋" w:hint="eastAsia"/>
        </w:rPr>
        <w:t>次，研讨案件</w:t>
      </w:r>
      <w:r>
        <w:rPr>
          <w:rFonts w:hAnsi="仿宋" w:hint="eastAsia"/>
        </w:rPr>
        <w:t>6</w:t>
      </w:r>
      <w:r w:rsidRPr="00791946">
        <w:rPr>
          <w:rFonts w:hAnsi="仿宋" w:hint="eastAsia"/>
        </w:rPr>
        <w:t>件，研讨文件3件，研究评查案件2件。</w:t>
      </w:r>
    </w:p>
    <w:p w:rsidR="00B4434A" w:rsidRPr="00685BD7" w:rsidRDefault="00B4434A" w:rsidP="00B4434A">
      <w:pPr>
        <w:spacing w:line="360" w:lineRule="auto"/>
        <w:ind w:firstLineChars="196" w:firstLine="627"/>
        <w:jc w:val="left"/>
        <w:rPr>
          <w:rFonts w:ascii="楷体_GB2312" w:eastAsia="楷体_GB2312" w:hAnsi="楷体"/>
          <w:b/>
        </w:rPr>
      </w:pPr>
      <w:r w:rsidRPr="00685BD7">
        <w:rPr>
          <w:rFonts w:ascii="楷体_GB2312" w:eastAsia="楷体_GB2312" w:hAnsi="楷体" w:hint="eastAsia"/>
          <w:b/>
        </w:rPr>
        <w:lastRenderedPageBreak/>
        <w:t>（</w:t>
      </w:r>
      <w:r>
        <w:rPr>
          <w:rFonts w:ascii="楷体_GB2312" w:eastAsia="楷体_GB2312" w:hAnsi="楷体" w:hint="eastAsia"/>
          <w:b/>
        </w:rPr>
        <w:t>四</w:t>
      </w:r>
      <w:r w:rsidRPr="00685BD7">
        <w:rPr>
          <w:rFonts w:ascii="楷体_GB2312" w:eastAsia="楷体_GB2312" w:hAnsi="楷体" w:hint="eastAsia"/>
          <w:b/>
        </w:rPr>
        <w:t>）审判流程管理工作</w:t>
      </w:r>
    </w:p>
    <w:p w:rsidR="00B4434A" w:rsidRDefault="00B4434A" w:rsidP="00B4434A">
      <w:pPr>
        <w:spacing w:line="360" w:lineRule="auto"/>
        <w:ind w:firstLine="658"/>
        <w:rPr>
          <w:rFonts w:hAnsi="仿宋_GB2312" w:cs="仿宋_GB2312" w:hint="eastAsia"/>
          <w:color w:val="000000"/>
        </w:rPr>
      </w:pPr>
      <w:r w:rsidRPr="00396B2D">
        <w:rPr>
          <w:rFonts w:ascii="楷体_GB2312" w:eastAsia="楷体_GB2312" w:hAnsi="仿宋" w:hint="eastAsia"/>
          <w:b/>
        </w:rPr>
        <w:t>1.长期未结诉讼案件清理情况。</w:t>
      </w:r>
      <w:r>
        <w:rPr>
          <w:rFonts w:hAnsi="仿宋" w:hint="eastAsia"/>
        </w:rPr>
        <w:t>1-6月，珲春林区基层法院长期未结诉讼案件为0件。</w:t>
      </w:r>
    </w:p>
    <w:p w:rsidR="00B4434A" w:rsidRDefault="00B4434A" w:rsidP="00B4434A">
      <w:pPr>
        <w:spacing w:line="360" w:lineRule="auto"/>
        <w:ind w:firstLineChars="196" w:firstLine="627"/>
        <w:jc w:val="left"/>
        <w:rPr>
          <w:rFonts w:hAnsi="仿宋" w:hint="eastAsia"/>
        </w:rPr>
      </w:pPr>
      <w:r w:rsidRPr="00B31484">
        <w:rPr>
          <w:rFonts w:hAnsi="仿宋" w:hint="eastAsia"/>
          <w:b/>
        </w:rPr>
        <w:t>2.卷宗归档情况。</w:t>
      </w:r>
      <w:r w:rsidRPr="00B31484">
        <w:rPr>
          <w:rFonts w:hint="eastAsia"/>
          <w:color w:val="000000"/>
        </w:rPr>
        <w:t>截止</w:t>
      </w:r>
      <w:r>
        <w:rPr>
          <w:rFonts w:hint="eastAsia"/>
          <w:color w:val="000000"/>
        </w:rPr>
        <w:t>6月30日</w:t>
      </w:r>
      <w:r w:rsidRPr="00B31484">
        <w:rPr>
          <w:rFonts w:hint="eastAsia"/>
          <w:color w:val="000000"/>
        </w:rPr>
        <w:t>，</w:t>
      </w:r>
      <w:r>
        <w:rPr>
          <w:rFonts w:hint="eastAsia"/>
          <w:color w:val="000000"/>
        </w:rPr>
        <w:t>珲春林区基层法院结案3个月的案件卷宗归档率</w:t>
      </w:r>
      <w:r w:rsidRPr="00C33FCF">
        <w:rPr>
          <w:rFonts w:hint="eastAsia"/>
          <w:color w:val="000000"/>
        </w:rPr>
        <w:t>91.00%，有9件未归档。</w:t>
      </w:r>
    </w:p>
    <w:p w:rsidR="00B4434A" w:rsidRDefault="00B4434A" w:rsidP="00B4434A">
      <w:pPr>
        <w:spacing w:line="360" w:lineRule="auto"/>
        <w:ind w:firstLine="629"/>
        <w:rPr>
          <w:rFonts w:hAnsi="黑体" w:hint="eastAsia"/>
          <w:b/>
          <w:noProof/>
        </w:rPr>
      </w:pPr>
      <w:r w:rsidRPr="002C7398">
        <w:rPr>
          <w:rFonts w:hAnsi="仿宋" w:hint="eastAsia"/>
          <w:b/>
        </w:rPr>
        <w:t>3.</w:t>
      </w:r>
      <w:r w:rsidRPr="002C7398">
        <w:rPr>
          <w:rFonts w:hAnsi="黑体" w:hint="eastAsia"/>
          <w:b/>
        </w:rPr>
        <w:t xml:space="preserve"> 简易程序适用情况。</w:t>
      </w:r>
      <w:r>
        <w:rPr>
          <w:rFonts w:hAnsi="黑体" w:hint="eastAsia"/>
        </w:rPr>
        <w:t>1-6月，珲春林区基层法院简易程序</w:t>
      </w:r>
      <w:r w:rsidRPr="008D3823">
        <w:rPr>
          <w:rFonts w:hAnsi="黑体" w:hint="eastAsia"/>
        </w:rPr>
        <w:t>适用率为76.67%，同比增加0.43个百分点，其中，民事为66.67%，同比增加3.75个百分点，刑事为10.00%，同比增加6.69个百分点，均有较大幅度提高。</w:t>
      </w:r>
    </w:p>
    <w:p w:rsidR="00B4434A" w:rsidRPr="00791946" w:rsidRDefault="00B4434A" w:rsidP="00B4434A">
      <w:pPr>
        <w:spacing w:line="360" w:lineRule="auto"/>
        <w:ind w:firstLineChars="200" w:firstLine="640"/>
        <w:rPr>
          <w:rFonts w:hAnsi="华文楷体" w:hint="eastAsia"/>
          <w:b/>
        </w:rPr>
      </w:pPr>
      <w:r w:rsidRPr="00791946">
        <w:rPr>
          <w:rFonts w:hAnsi="华文楷体" w:hint="eastAsia"/>
        </w:rPr>
        <w:t>从数据分析看，</w:t>
      </w:r>
      <w:r w:rsidRPr="00791946">
        <w:rPr>
          <w:rFonts w:hAnsi="黑体" w:hint="eastAsia"/>
        </w:rPr>
        <w:t>民事案件简易程序适用率普遍较高，</w:t>
      </w:r>
      <w:r>
        <w:rPr>
          <w:rFonts w:hAnsi="黑体" w:hint="eastAsia"/>
        </w:rPr>
        <w:t>应</w:t>
      </w:r>
      <w:r w:rsidRPr="00791946">
        <w:rPr>
          <w:rFonts w:hAnsi="华文楷体" w:hint="eastAsia"/>
        </w:rPr>
        <w:t>加大各类案件的简易程序适用率，合理控制程序转化，促进提高当庭宣判率，实质化推进案件繁简分流。</w:t>
      </w:r>
    </w:p>
    <w:p w:rsidR="00B4434A" w:rsidRPr="00E02968" w:rsidRDefault="00B4434A" w:rsidP="00B4434A">
      <w:pPr>
        <w:spacing w:line="360" w:lineRule="auto"/>
        <w:ind w:firstLineChars="221" w:firstLine="707"/>
        <w:rPr>
          <w:rFonts w:ascii="黑体" w:eastAsia="黑体" w:hAnsi="黑体" w:cs="仿宋_GB2312"/>
          <w:color w:val="000000"/>
        </w:rPr>
      </w:pPr>
      <w:r w:rsidRPr="00E02968">
        <w:rPr>
          <w:rFonts w:ascii="黑体" w:eastAsia="黑体" w:hAnsi="黑体" w:cs="仿宋_GB2312" w:hint="eastAsia"/>
          <w:color w:val="000000"/>
        </w:rPr>
        <w:t>二、下一步工作建议</w:t>
      </w:r>
    </w:p>
    <w:p w:rsidR="00B4434A" w:rsidRPr="00D425EC" w:rsidRDefault="00B4434A" w:rsidP="00B4434A">
      <w:pPr>
        <w:spacing w:line="360" w:lineRule="auto"/>
        <w:ind w:firstLine="629"/>
        <w:rPr>
          <w:rFonts w:hAnsi="华文楷体" w:hint="eastAsia"/>
        </w:rPr>
      </w:pPr>
      <w:r w:rsidRPr="00BF75F6">
        <w:rPr>
          <w:rFonts w:ascii="楷体_GB2312" w:eastAsia="楷体_GB2312" w:hAnsi="楷体" w:cs="仿宋_GB2312" w:hint="eastAsia"/>
          <w:b/>
          <w:color w:val="000000"/>
        </w:rPr>
        <w:t>（一）</w:t>
      </w:r>
      <w:r>
        <w:rPr>
          <w:rFonts w:ascii="楷体_GB2312" w:eastAsia="楷体_GB2312" w:hAnsi="楷体" w:cs="仿宋_GB2312" w:hint="eastAsia"/>
          <w:b/>
          <w:color w:val="000000"/>
        </w:rPr>
        <w:t>全力推进案件审执结进度。</w:t>
      </w:r>
      <w:r w:rsidRPr="00D425EC">
        <w:rPr>
          <w:rFonts w:hint="eastAsia"/>
        </w:rPr>
        <w:t>当前</w:t>
      </w:r>
      <w:r>
        <w:rPr>
          <w:rFonts w:hint="eastAsia"/>
        </w:rPr>
        <w:t>，</w:t>
      </w:r>
      <w:r w:rsidRPr="00D425EC">
        <w:rPr>
          <w:rFonts w:hint="eastAsia"/>
        </w:rPr>
        <w:t>提升结案率是</w:t>
      </w:r>
      <w:r>
        <w:rPr>
          <w:rFonts w:hint="eastAsia"/>
        </w:rPr>
        <w:t>我院</w:t>
      </w:r>
      <w:r w:rsidRPr="00D425EC">
        <w:rPr>
          <w:rFonts w:hint="eastAsia"/>
        </w:rPr>
        <w:t>法院执法办案工作的重中之重，</w:t>
      </w:r>
      <w:r>
        <w:rPr>
          <w:rFonts w:hint="eastAsia"/>
        </w:rPr>
        <w:t>为了抓牢抓好结案工作，有效提升结案率。一是要集中力量抓结案</w:t>
      </w:r>
      <w:r w:rsidRPr="00D425EC">
        <w:rPr>
          <w:rFonts w:hint="eastAsia"/>
        </w:rPr>
        <w:t>，</w:t>
      </w:r>
      <w:r>
        <w:rPr>
          <w:rFonts w:hint="eastAsia"/>
        </w:rPr>
        <w:t>要深入分析总结</w:t>
      </w:r>
      <w:r>
        <w:rPr>
          <w:rFonts w:hint="eastAsia"/>
        </w:rPr>
        <w:lastRenderedPageBreak/>
        <w:t>制约执法办案的因素，采取积极举措缓解人案矛盾，推进均衡结案，同时也要杜绝人为控制收案，加大对收案工作的检查力度，坚决杜绝数据造假</w:t>
      </w:r>
      <w:r w:rsidRPr="00D425EC">
        <w:rPr>
          <w:rFonts w:hint="eastAsia"/>
        </w:rPr>
        <w:t>。</w:t>
      </w:r>
      <w:r>
        <w:rPr>
          <w:rFonts w:hint="eastAsia"/>
        </w:rPr>
        <w:t>二</w:t>
      </w:r>
      <w:r w:rsidRPr="00C423C4">
        <w:rPr>
          <w:rFonts w:hint="eastAsia"/>
        </w:rPr>
        <w:t>是</w:t>
      </w:r>
      <w:r w:rsidRPr="00C423C4">
        <w:rPr>
          <w:rFonts w:hAnsi="华文楷体" w:hint="eastAsia"/>
        </w:rPr>
        <w:t>要</w:t>
      </w:r>
      <w:r>
        <w:rPr>
          <w:rFonts w:hAnsi="华文楷体" w:hint="eastAsia"/>
        </w:rPr>
        <w:t>有效</w:t>
      </w:r>
      <w:r w:rsidRPr="00C423C4">
        <w:rPr>
          <w:rFonts w:hAnsi="华文楷体" w:hint="eastAsia"/>
        </w:rPr>
        <w:t>加强审限管理</w:t>
      </w:r>
      <w:r>
        <w:rPr>
          <w:rFonts w:hAnsi="华文楷体" w:hint="eastAsia"/>
        </w:rPr>
        <w:t>，</w:t>
      </w:r>
      <w:r w:rsidRPr="00D425EC">
        <w:rPr>
          <w:rFonts w:hAnsi="楷体" w:cs="仿宋_GB2312" w:hint="eastAsia"/>
          <w:color w:val="000000"/>
        </w:rPr>
        <w:t>去年省高院发布了《吉林省高级人民法院关于加强审限管理的若干规定（试行）》[吉高法（2017）65号]，今年4月最高</w:t>
      </w:r>
      <w:r>
        <w:rPr>
          <w:rFonts w:hAnsi="楷体" w:cs="仿宋_GB2312" w:hint="eastAsia"/>
          <w:color w:val="000000"/>
        </w:rPr>
        <w:t>法</w:t>
      </w:r>
      <w:r w:rsidRPr="00D425EC">
        <w:rPr>
          <w:rFonts w:hAnsi="楷体" w:cs="仿宋_GB2312" w:hint="eastAsia"/>
          <w:color w:val="000000"/>
        </w:rPr>
        <w:t>院</w:t>
      </w:r>
      <w:r>
        <w:rPr>
          <w:rFonts w:hAnsi="楷体" w:cs="仿宋_GB2312" w:hint="eastAsia"/>
          <w:color w:val="000000"/>
        </w:rPr>
        <w:t>发布了</w:t>
      </w:r>
      <w:r w:rsidRPr="00D425EC">
        <w:rPr>
          <w:rFonts w:hAnsi="楷体" w:cs="仿宋_GB2312" w:hint="eastAsia"/>
          <w:color w:val="000000"/>
        </w:rPr>
        <w:t>《最高人民法院关于严格规范民商事案件延长审限和延期开庭问题的规定》[法释（2018）9号]，</w:t>
      </w:r>
      <w:r>
        <w:rPr>
          <w:rFonts w:hAnsi="楷体" w:cs="仿宋_GB2312" w:hint="eastAsia"/>
          <w:color w:val="000000"/>
        </w:rPr>
        <w:t>要按照规定规范审限审批流程，管好审限审批权限，防止审批权力滥用，</w:t>
      </w:r>
      <w:r w:rsidRPr="00D425EC">
        <w:rPr>
          <w:rFonts w:hAnsi="楷体" w:cs="仿宋_GB2312" w:hint="eastAsia"/>
          <w:color w:val="000000"/>
        </w:rPr>
        <w:t>避免案件久拖不决，</w:t>
      </w:r>
      <w:r>
        <w:rPr>
          <w:rFonts w:hAnsi="楷体" w:cs="仿宋_GB2312" w:hint="eastAsia"/>
          <w:color w:val="000000"/>
        </w:rPr>
        <w:t>将审限</w:t>
      </w:r>
      <w:r w:rsidRPr="00D425EC">
        <w:rPr>
          <w:rFonts w:hAnsi="楷体" w:cs="仿宋_GB2312" w:hint="eastAsia"/>
          <w:color w:val="000000"/>
        </w:rPr>
        <w:t>管理落到实处</w:t>
      </w:r>
      <w:r>
        <w:rPr>
          <w:rFonts w:hAnsi="楷体" w:cs="仿宋_GB2312" w:hint="eastAsia"/>
          <w:color w:val="000000"/>
        </w:rPr>
        <w:t>。</w:t>
      </w:r>
      <w:r>
        <w:rPr>
          <w:rFonts w:hint="eastAsia"/>
        </w:rPr>
        <w:t>三</w:t>
      </w:r>
      <w:r w:rsidRPr="004F2191">
        <w:rPr>
          <w:rFonts w:hAnsi="楷体" w:cs="仿宋_GB2312" w:hint="eastAsia"/>
          <w:color w:val="000000"/>
        </w:rPr>
        <w:t>是要全力做好</w:t>
      </w:r>
      <w:r w:rsidRPr="004F2191">
        <w:rPr>
          <w:rFonts w:hAnsi="华文楷体" w:hint="eastAsia"/>
        </w:rPr>
        <w:t>执行攻坚工作</w:t>
      </w:r>
      <w:r>
        <w:rPr>
          <w:rFonts w:hAnsi="华文楷体" w:hint="eastAsia"/>
        </w:rPr>
        <w:t>，</w:t>
      </w:r>
      <w:r w:rsidRPr="007B757C">
        <w:rPr>
          <w:rFonts w:hAnsi="华文楷体" w:hint="eastAsia"/>
        </w:rPr>
        <w:t>要加强执行人员力量，做好执行工作保障，务必确保打赢“基本解决执行难”战役。</w:t>
      </w:r>
    </w:p>
    <w:p w:rsidR="00B4434A" w:rsidRPr="00004FB6" w:rsidRDefault="00B4434A" w:rsidP="00B4434A">
      <w:pPr>
        <w:spacing w:line="360" w:lineRule="auto"/>
        <w:ind w:firstLineChars="196" w:firstLine="627"/>
        <w:rPr>
          <w:rFonts w:hAnsi="楷体" w:cs="仿宋_GB2312" w:hint="eastAsia"/>
          <w:color w:val="000000"/>
        </w:rPr>
      </w:pPr>
      <w:r w:rsidRPr="008A0ED8">
        <w:rPr>
          <w:rFonts w:ascii="楷体_GB2312" w:eastAsia="楷体_GB2312" w:hAnsi="楷体" w:cs="仿宋_GB2312" w:hint="eastAsia"/>
          <w:b/>
          <w:color w:val="000000"/>
        </w:rPr>
        <w:t>（二）</w:t>
      </w:r>
      <w:r>
        <w:rPr>
          <w:rFonts w:ascii="楷体_GB2312" w:eastAsia="楷体_GB2312" w:hAnsi="楷体" w:cs="仿宋_GB2312" w:hint="eastAsia"/>
          <w:b/>
          <w:color w:val="000000"/>
        </w:rPr>
        <w:t>全面</w:t>
      </w:r>
      <w:r w:rsidRPr="008A0ED8">
        <w:rPr>
          <w:rFonts w:ascii="楷体_GB2312" w:eastAsia="楷体_GB2312" w:hAnsi="楷体" w:cs="仿宋_GB2312" w:hint="eastAsia"/>
          <w:b/>
          <w:color w:val="000000"/>
        </w:rPr>
        <w:t>加强案件评查，提高案件质量</w:t>
      </w:r>
      <w:r>
        <w:rPr>
          <w:rFonts w:ascii="楷体_GB2312" w:eastAsia="楷体_GB2312" w:hAnsi="楷体" w:cs="仿宋_GB2312" w:hint="eastAsia"/>
          <w:b/>
          <w:color w:val="000000"/>
        </w:rPr>
        <w:t>。</w:t>
      </w:r>
      <w:r>
        <w:rPr>
          <w:rFonts w:hAnsi="仿宋_GB2312" w:cs="仿宋_GB2312" w:hint="eastAsia"/>
          <w:color w:val="000000"/>
        </w:rPr>
        <w:t>案件质量评查工作是落实司法责任制的重要抓手，前年以来我院建立健全了案件评查制度，</w:t>
      </w:r>
      <w:r>
        <w:rPr>
          <w:rFonts w:hAnsi="Times New Roman" w:cs="宋体-方正超大字符集" w:hint="eastAsia"/>
        </w:rPr>
        <w:t>形成常态评查机制，常态化开展案件质量评查工作，</w:t>
      </w:r>
      <w:r w:rsidRPr="00004FB6">
        <w:rPr>
          <w:rFonts w:hAnsi="华文楷体" w:hint="eastAsia"/>
        </w:rPr>
        <w:t>强化案件质量监管，严格控制</w:t>
      </w:r>
      <w:r>
        <w:rPr>
          <w:rFonts w:hAnsi="华文楷体" w:hint="eastAsia"/>
        </w:rPr>
        <w:t>改发指</w:t>
      </w:r>
      <w:r w:rsidRPr="00004FB6">
        <w:rPr>
          <w:rFonts w:hAnsi="华文楷体" w:hint="eastAsia"/>
        </w:rPr>
        <w:t>三类案件，</w:t>
      </w:r>
      <w:r w:rsidRPr="00B31484">
        <w:rPr>
          <w:rFonts w:hAnsi="Times New Roman" w:cs="宋体-方正超大字符集" w:hint="eastAsia"/>
        </w:rPr>
        <w:t>加强</w:t>
      </w:r>
      <w:r>
        <w:rPr>
          <w:rFonts w:hAnsi="Times New Roman" w:cs="宋体-方正超大字符集" w:hint="eastAsia"/>
        </w:rPr>
        <w:t>双向评查，</w:t>
      </w:r>
      <w:r w:rsidRPr="00B31484">
        <w:rPr>
          <w:rFonts w:hAnsi="Times New Roman" w:cs="宋体-方正超大字符集" w:hint="eastAsia"/>
        </w:rPr>
        <w:t>深入研究</w:t>
      </w:r>
      <w:r>
        <w:rPr>
          <w:rFonts w:hAnsi="Times New Roman" w:cs="宋体-方正超大字符集" w:hint="eastAsia"/>
        </w:rPr>
        <w:t>改判、</w:t>
      </w:r>
      <w:r w:rsidRPr="00B31484">
        <w:rPr>
          <w:rFonts w:hAnsi="Times New Roman" w:cs="宋体-方正超大字符集" w:hint="eastAsia"/>
        </w:rPr>
        <w:t>发回重审和指令再审</w:t>
      </w:r>
      <w:r>
        <w:rPr>
          <w:rFonts w:hAnsi="Times New Roman" w:cs="宋体-方正超大字符集" w:hint="eastAsia"/>
        </w:rPr>
        <w:t>案件</w:t>
      </w:r>
      <w:r w:rsidRPr="00B31484">
        <w:rPr>
          <w:rFonts w:hAnsi="Times New Roman" w:cs="宋体-方正超大字符集" w:hint="eastAsia"/>
        </w:rPr>
        <w:t>所</w:t>
      </w:r>
      <w:r w:rsidRPr="00B31484">
        <w:rPr>
          <w:rFonts w:hAnsi="Times New Roman" w:cs="宋体-方正超大字符集" w:hint="eastAsia"/>
        </w:rPr>
        <w:lastRenderedPageBreak/>
        <w:t>反映出的法律</w:t>
      </w:r>
      <w:r>
        <w:rPr>
          <w:rFonts w:hAnsi="Times New Roman" w:cs="宋体-方正超大字符集" w:hint="eastAsia"/>
        </w:rPr>
        <w:t>、程序以及程序外的</w:t>
      </w:r>
      <w:r w:rsidRPr="00B31484">
        <w:rPr>
          <w:rFonts w:hAnsi="Times New Roman" w:cs="宋体-方正超大字符集" w:hint="eastAsia"/>
        </w:rPr>
        <w:t>问题，</w:t>
      </w:r>
      <w:r>
        <w:rPr>
          <w:rFonts w:hAnsi="Times New Roman" w:cs="宋体-方正超大字符集" w:hint="eastAsia"/>
        </w:rPr>
        <w:t>确保审判质效不断提升，确保司法责任制落到实处。</w:t>
      </w:r>
    </w:p>
    <w:p w:rsidR="00B4434A" w:rsidRDefault="00B4434A" w:rsidP="00B4434A">
      <w:pPr>
        <w:spacing w:line="360" w:lineRule="auto"/>
        <w:ind w:firstLineChars="196" w:firstLine="627"/>
        <w:rPr>
          <w:rFonts w:hAnsi="楷体" w:cs="仿宋_GB2312" w:hint="eastAsia"/>
          <w:color w:val="000000"/>
        </w:rPr>
      </w:pPr>
      <w:r w:rsidRPr="00BF75F6">
        <w:rPr>
          <w:rFonts w:ascii="楷体_GB2312" w:eastAsia="楷体_GB2312" w:hAnsi="楷体" w:cs="仿宋_GB2312" w:hint="eastAsia"/>
          <w:b/>
          <w:color w:val="000000"/>
        </w:rPr>
        <w:t>（</w:t>
      </w:r>
      <w:r>
        <w:rPr>
          <w:rFonts w:ascii="楷体_GB2312" w:eastAsia="楷体_GB2312" w:hAnsi="楷体" w:cs="仿宋_GB2312" w:hint="eastAsia"/>
          <w:b/>
          <w:color w:val="000000"/>
        </w:rPr>
        <w:t>三</w:t>
      </w:r>
      <w:r w:rsidRPr="00BF75F6">
        <w:rPr>
          <w:rFonts w:ascii="楷体_GB2312" w:eastAsia="楷体_GB2312" w:hAnsi="楷体" w:cs="仿宋_GB2312" w:hint="eastAsia"/>
          <w:b/>
          <w:color w:val="000000"/>
        </w:rPr>
        <w:t>）</w:t>
      </w:r>
      <w:r>
        <w:rPr>
          <w:rFonts w:ascii="楷体_GB2312" w:eastAsia="楷体_GB2312" w:hAnsi="楷体" w:cs="仿宋_GB2312" w:hint="eastAsia"/>
          <w:b/>
          <w:color w:val="000000"/>
        </w:rPr>
        <w:t>全面加强裁判文书质量管控。</w:t>
      </w:r>
      <w:r w:rsidRPr="00D425EC">
        <w:rPr>
          <w:rFonts w:hAnsi="楷体" w:cs="仿宋_GB2312" w:hint="eastAsia"/>
          <w:color w:val="000000"/>
        </w:rPr>
        <w:t>裁判文书质量</w:t>
      </w:r>
      <w:r>
        <w:rPr>
          <w:rFonts w:hAnsi="楷体" w:cs="仿宋_GB2312" w:hint="eastAsia"/>
          <w:color w:val="000000"/>
        </w:rPr>
        <w:t>关乎法院形象，</w:t>
      </w:r>
      <w:r w:rsidRPr="008846C4">
        <w:rPr>
          <w:rFonts w:hAnsi="楷体" w:cs="仿宋_GB2312" w:hint="eastAsia"/>
          <w:color w:val="000000"/>
        </w:rPr>
        <w:t>今年4月</w:t>
      </w:r>
      <w:r>
        <w:rPr>
          <w:rFonts w:hAnsi="楷体" w:cs="仿宋_GB2312" w:hint="eastAsia"/>
          <w:color w:val="000000"/>
        </w:rPr>
        <w:t>28日</w:t>
      </w:r>
      <w:r w:rsidRPr="00B354BF">
        <w:rPr>
          <w:rFonts w:hAnsi="楷体" w:cs="仿宋_GB2312" w:hint="eastAsia"/>
          <w:color w:val="000000"/>
        </w:rPr>
        <w:t>最高院</w:t>
      </w:r>
      <w:r>
        <w:rPr>
          <w:rFonts w:hAnsi="楷体" w:cs="仿宋_GB2312" w:hint="eastAsia"/>
          <w:color w:val="000000"/>
        </w:rPr>
        <w:t>印发了《关于全面提升裁判文书质量 切实防止低级错误反复发生的紧急通知》，对全国因上网裁判文书出现低级错误、发生负面舆情的16家高级、中级和基层法院给予了通报，同时对提升裁判文书质量提出了具体工作要求，我院对裁判文书质量，特别是上网裁判文书质量给予高度重视，建立裁判文书质量管控长效机制，对本院上网裁判文书认真自查、整改，实行“谁审核、谁签发、谁负责”的责任倒查机制，</w:t>
      </w:r>
      <w:r>
        <w:rPr>
          <w:rFonts w:hint="eastAsia"/>
        </w:rPr>
        <w:t>确保裁判文书质量不出问题，同时</w:t>
      </w:r>
      <w:r w:rsidRPr="00731587">
        <w:rPr>
          <w:rFonts w:hint="eastAsia"/>
        </w:rPr>
        <w:t>加强裁判文书纠错软件、智审系统裁判文书自动生成等</w:t>
      </w:r>
      <w:r>
        <w:rPr>
          <w:rFonts w:hint="eastAsia"/>
        </w:rPr>
        <w:t>辅助</w:t>
      </w:r>
      <w:r w:rsidRPr="00731587">
        <w:rPr>
          <w:rFonts w:hint="eastAsia"/>
        </w:rPr>
        <w:t>功能</w:t>
      </w:r>
      <w:r>
        <w:rPr>
          <w:rFonts w:hint="eastAsia"/>
        </w:rPr>
        <w:t>的</w:t>
      </w:r>
      <w:r w:rsidRPr="00731587">
        <w:rPr>
          <w:rFonts w:hint="eastAsia"/>
        </w:rPr>
        <w:t>应用，</w:t>
      </w:r>
      <w:r>
        <w:rPr>
          <w:rFonts w:hAnsi="楷体" w:cs="仿宋_GB2312" w:hint="eastAsia"/>
          <w:color w:val="000000"/>
        </w:rPr>
        <w:t>进一步提高裁判文书质量。</w:t>
      </w:r>
    </w:p>
    <w:p w:rsidR="00B4434A" w:rsidRPr="00412619" w:rsidRDefault="00B4434A" w:rsidP="00B4434A">
      <w:pPr>
        <w:spacing w:line="360" w:lineRule="auto"/>
        <w:ind w:firstLineChars="196" w:firstLine="627"/>
        <w:rPr>
          <w:rFonts w:hAnsi="楷体" w:cs="仿宋_GB2312" w:hint="eastAsia"/>
          <w:color w:val="000000"/>
        </w:rPr>
      </w:pPr>
      <w:r>
        <w:rPr>
          <w:rFonts w:ascii="楷体_GB2312" w:eastAsia="楷体_GB2312" w:hAnsi="楷体" w:cs="仿宋_GB2312" w:hint="eastAsia"/>
          <w:b/>
          <w:color w:val="000000"/>
        </w:rPr>
        <w:t>（四</w:t>
      </w:r>
      <w:r w:rsidRPr="00E675A7">
        <w:rPr>
          <w:rFonts w:hAnsi="楷体" w:cs="仿宋_GB2312" w:hint="eastAsia"/>
          <w:b/>
          <w:color w:val="000000"/>
        </w:rPr>
        <w:t>）</w:t>
      </w:r>
      <w:r>
        <w:rPr>
          <w:rFonts w:ascii="楷体_GB2312" w:eastAsia="楷体_GB2312" w:hAnsi="楷体" w:cs="仿宋_GB2312" w:hint="eastAsia"/>
          <w:b/>
          <w:color w:val="000000"/>
        </w:rPr>
        <w:t>全方位推进落实各项司法改革任务。</w:t>
      </w:r>
      <w:r>
        <w:rPr>
          <w:rFonts w:cs="宋体" w:hint="eastAsia"/>
          <w:color w:val="000000"/>
          <w:kern w:val="0"/>
        </w:rPr>
        <w:t>为贯彻</w:t>
      </w:r>
      <w:r w:rsidRPr="00412619">
        <w:rPr>
          <w:rFonts w:cs="宋体" w:hint="eastAsia"/>
          <w:color w:val="000000"/>
          <w:kern w:val="0"/>
        </w:rPr>
        <w:t>落实中共中央办公厅印发的《关于加强法官检察官正规化专业化职业化建设 全面落实司法责任制的意见》各项要求，全面</w:t>
      </w:r>
      <w:r w:rsidRPr="00412619">
        <w:rPr>
          <w:rFonts w:cs="宋体" w:hint="eastAsia"/>
          <w:color w:val="000000"/>
          <w:kern w:val="0"/>
        </w:rPr>
        <w:lastRenderedPageBreak/>
        <w:t>落实司法责任制</w:t>
      </w:r>
      <w:r>
        <w:rPr>
          <w:rFonts w:cs="宋体" w:hint="eastAsia"/>
          <w:color w:val="000000"/>
          <w:kern w:val="0"/>
        </w:rPr>
        <w:t>，</w:t>
      </w:r>
      <w:r w:rsidRPr="00412619">
        <w:rPr>
          <w:rFonts w:cs="宋体" w:hint="eastAsia"/>
          <w:color w:val="000000"/>
          <w:kern w:val="0"/>
        </w:rPr>
        <w:t>做好迎接司法责任制改革第三方评估工作</w:t>
      </w:r>
      <w:r>
        <w:rPr>
          <w:rFonts w:cs="宋体" w:hint="eastAsia"/>
          <w:color w:val="000000"/>
          <w:kern w:val="0"/>
        </w:rPr>
        <w:t>，要</w:t>
      </w:r>
      <w:r w:rsidRPr="00412619">
        <w:rPr>
          <w:rFonts w:hAnsi="楷体" w:cs="仿宋_GB2312" w:hint="eastAsia"/>
          <w:color w:val="000000"/>
        </w:rPr>
        <w:t>继续加强绩效考核</w:t>
      </w:r>
      <w:r>
        <w:rPr>
          <w:rFonts w:hAnsi="楷体" w:cs="仿宋_GB2312" w:hint="eastAsia"/>
          <w:color w:val="000000"/>
        </w:rPr>
        <w:t>，</w:t>
      </w:r>
      <w:r w:rsidRPr="00412619">
        <w:rPr>
          <w:rFonts w:hAnsi="楷体" w:cs="仿宋_GB2312" w:hint="eastAsia"/>
          <w:color w:val="000000"/>
        </w:rPr>
        <w:t>建立以办案数量和质量为基础的审判绩效考核制度，健全完善适应司法人员分类管理的岗位目标责任制考核体系，科学设计绩效奖金发放标准，树立正确的激励导向，加强考核结果运用</w:t>
      </w:r>
      <w:r>
        <w:rPr>
          <w:rFonts w:hAnsi="楷体" w:cs="仿宋_GB2312" w:hint="eastAsia"/>
          <w:color w:val="000000"/>
        </w:rPr>
        <w:t>，</w:t>
      </w:r>
      <w:r w:rsidRPr="00412619">
        <w:rPr>
          <w:rFonts w:hAnsi="楷体" w:cs="仿宋_GB2312" w:hint="eastAsia"/>
          <w:color w:val="000000"/>
        </w:rPr>
        <w:t>加快绩效考核与信息化融合步伐</w:t>
      </w:r>
      <w:r>
        <w:rPr>
          <w:rFonts w:hAnsi="楷体" w:cs="仿宋_GB2312" w:hint="eastAsia"/>
          <w:color w:val="000000"/>
        </w:rPr>
        <w:t>；</w:t>
      </w:r>
      <w:r w:rsidRPr="00412619">
        <w:rPr>
          <w:rFonts w:hAnsi="楷体" w:cs="仿宋_GB2312" w:hint="eastAsia"/>
          <w:color w:val="000000"/>
        </w:rPr>
        <w:t>继续完善法官办案权力清单和履职指引制度，规范审判权运行</w:t>
      </w:r>
      <w:r>
        <w:rPr>
          <w:rFonts w:hAnsi="楷体" w:cs="仿宋_GB2312" w:hint="eastAsia"/>
          <w:color w:val="000000"/>
        </w:rPr>
        <w:t>，</w:t>
      </w:r>
      <w:r w:rsidRPr="00412619">
        <w:rPr>
          <w:rFonts w:hAnsi="楷体" w:cs="仿宋_GB2312" w:hint="eastAsia"/>
          <w:color w:val="000000"/>
        </w:rPr>
        <w:t>健全完善适应新型审判权力运行特点的监督管理机制</w:t>
      </w:r>
      <w:r>
        <w:rPr>
          <w:rFonts w:hAnsi="楷体" w:cs="仿宋_GB2312" w:hint="eastAsia"/>
          <w:color w:val="000000"/>
        </w:rPr>
        <w:t>，</w:t>
      </w:r>
      <w:r w:rsidRPr="00412619">
        <w:rPr>
          <w:rFonts w:hAnsi="楷体" w:cs="仿宋_GB2312" w:hint="eastAsia"/>
          <w:color w:val="000000"/>
        </w:rPr>
        <w:t>加强新型审判团队建设</w:t>
      </w:r>
      <w:r>
        <w:rPr>
          <w:rFonts w:hAnsi="楷体" w:cs="仿宋_GB2312" w:hint="eastAsia"/>
          <w:color w:val="000000"/>
        </w:rPr>
        <w:t>，</w:t>
      </w:r>
      <w:r w:rsidRPr="00412619">
        <w:rPr>
          <w:rFonts w:hAnsi="楷体" w:cs="仿宋_GB2312" w:hint="eastAsia"/>
          <w:color w:val="000000"/>
        </w:rPr>
        <w:t>健全院领导办案机制和通报制度</w:t>
      </w:r>
      <w:r>
        <w:rPr>
          <w:rFonts w:hAnsi="楷体" w:cs="仿宋_GB2312" w:hint="eastAsia"/>
          <w:color w:val="000000"/>
        </w:rPr>
        <w:t>，</w:t>
      </w:r>
      <w:r w:rsidRPr="00412619">
        <w:rPr>
          <w:rFonts w:hAnsi="楷体" w:cs="仿宋_GB2312" w:hint="eastAsia"/>
          <w:color w:val="000000"/>
        </w:rPr>
        <w:t>推进专业法官会议机制建设</w:t>
      </w:r>
      <w:r>
        <w:rPr>
          <w:rFonts w:hAnsi="楷体" w:cs="仿宋_GB2312" w:hint="eastAsia"/>
          <w:color w:val="000000"/>
        </w:rPr>
        <w:t>，</w:t>
      </w:r>
      <w:r w:rsidRPr="00412619">
        <w:rPr>
          <w:rFonts w:hAnsi="楷体" w:cs="仿宋_GB2312" w:hint="eastAsia"/>
          <w:color w:val="000000"/>
        </w:rPr>
        <w:t>深化审判委员会制度改革</w:t>
      </w:r>
      <w:r>
        <w:rPr>
          <w:rFonts w:hAnsi="楷体" w:cs="仿宋_GB2312" w:hint="eastAsia"/>
          <w:color w:val="000000"/>
        </w:rPr>
        <w:t>；</w:t>
      </w:r>
      <w:r w:rsidRPr="00412619">
        <w:rPr>
          <w:rFonts w:hAnsi="楷体" w:cs="仿宋_GB2312" w:hint="eastAsia"/>
          <w:color w:val="000000"/>
        </w:rPr>
        <w:t>完善司法责任追究机制</w:t>
      </w:r>
      <w:r>
        <w:rPr>
          <w:rFonts w:hAnsi="楷体" w:cs="仿宋_GB2312" w:hint="eastAsia"/>
          <w:color w:val="000000"/>
        </w:rPr>
        <w:t>，</w:t>
      </w:r>
      <w:r w:rsidRPr="00412619">
        <w:rPr>
          <w:rFonts w:hAnsi="楷体" w:cs="仿宋_GB2312" w:hint="eastAsia"/>
          <w:color w:val="000000"/>
        </w:rPr>
        <w:t>健全法官惩戒制度，建立法院纪检监察与法官惩戒委员会有效衔接和工作对接机制，畅通工作渠道，规范工作流程</w:t>
      </w:r>
      <w:r>
        <w:rPr>
          <w:rFonts w:hAnsi="楷体" w:cs="仿宋_GB2312" w:hint="eastAsia"/>
          <w:color w:val="000000"/>
        </w:rPr>
        <w:t>，</w:t>
      </w:r>
      <w:r w:rsidRPr="00412619">
        <w:rPr>
          <w:rFonts w:hAnsi="楷体" w:cs="仿宋_GB2312" w:hint="eastAsia"/>
          <w:color w:val="000000"/>
        </w:rPr>
        <w:t>推动法官惩戒委员会及法官惩戒办公室相关工作。</w:t>
      </w:r>
    </w:p>
    <w:p w:rsidR="00B4434A" w:rsidRDefault="00B4434A" w:rsidP="00B4434A">
      <w:pPr>
        <w:spacing w:line="360" w:lineRule="auto"/>
        <w:ind w:firstLineChars="196" w:firstLine="627"/>
        <w:rPr>
          <w:rFonts w:hint="eastAsia"/>
        </w:rPr>
      </w:pPr>
      <w:r>
        <w:rPr>
          <w:rFonts w:ascii="楷体_GB2312" w:eastAsia="楷体_GB2312" w:hAnsi="楷体" w:cs="仿宋_GB2312" w:hint="eastAsia"/>
          <w:b/>
          <w:color w:val="000000"/>
        </w:rPr>
        <w:t>（五）全面</w:t>
      </w:r>
      <w:r w:rsidRPr="00BF75F6">
        <w:rPr>
          <w:rFonts w:ascii="楷体_GB2312" w:eastAsia="楷体_GB2312" w:hAnsi="楷体" w:cs="仿宋_GB2312" w:hint="eastAsia"/>
          <w:b/>
          <w:color w:val="000000"/>
        </w:rPr>
        <w:t>加强审判运行态势分析</w:t>
      </w:r>
      <w:r>
        <w:rPr>
          <w:rFonts w:ascii="楷体_GB2312" w:eastAsia="楷体_GB2312" w:hAnsi="楷体" w:cs="仿宋_GB2312" w:hint="eastAsia"/>
          <w:b/>
          <w:color w:val="000000"/>
        </w:rPr>
        <w:t>研判</w:t>
      </w:r>
      <w:r w:rsidRPr="00BF75F6">
        <w:rPr>
          <w:rFonts w:ascii="楷体_GB2312" w:eastAsia="楷体_GB2312" w:hAnsi="楷体" w:cs="仿宋_GB2312" w:hint="eastAsia"/>
          <w:b/>
          <w:color w:val="000000"/>
        </w:rPr>
        <w:t>。</w:t>
      </w:r>
      <w:r>
        <w:rPr>
          <w:rFonts w:hint="eastAsia"/>
        </w:rPr>
        <w:t>从今年第一季度开始，我院党组每月听取全省法院及本院审判运行态势分析报告，加强对审判执行工作的分析研判，</w:t>
      </w:r>
      <w:r w:rsidRPr="007B1498">
        <w:rPr>
          <w:rFonts w:hint="eastAsia"/>
        </w:rPr>
        <w:t>及时研究解决审</w:t>
      </w:r>
      <w:r w:rsidRPr="007B1498">
        <w:rPr>
          <w:rFonts w:hint="eastAsia"/>
        </w:rPr>
        <w:lastRenderedPageBreak/>
        <w:t>判</w:t>
      </w:r>
      <w:r>
        <w:rPr>
          <w:rFonts w:hint="eastAsia"/>
        </w:rPr>
        <w:t>执行</w:t>
      </w:r>
      <w:r w:rsidRPr="007B1498">
        <w:rPr>
          <w:rFonts w:hint="eastAsia"/>
        </w:rPr>
        <w:t>工作中</w:t>
      </w:r>
      <w:r>
        <w:rPr>
          <w:rFonts w:hint="eastAsia"/>
        </w:rPr>
        <w:t>存在</w:t>
      </w:r>
      <w:r w:rsidRPr="007B1498">
        <w:rPr>
          <w:rFonts w:hint="eastAsia"/>
        </w:rPr>
        <w:t>的</w:t>
      </w:r>
      <w:r>
        <w:rPr>
          <w:rFonts w:hint="eastAsia"/>
        </w:rPr>
        <w:t>实际问题，找准问题，</w:t>
      </w:r>
      <w:r w:rsidRPr="00147FCB">
        <w:rPr>
          <w:rFonts w:hint="eastAsia"/>
        </w:rPr>
        <w:t>对症下药，提出切实可行、行之有效的措施，</w:t>
      </w:r>
      <w:r>
        <w:rPr>
          <w:rFonts w:hint="eastAsia"/>
        </w:rPr>
        <w:t>推动</w:t>
      </w:r>
      <w:r w:rsidRPr="00147FCB">
        <w:rPr>
          <w:rFonts w:hint="eastAsia"/>
        </w:rPr>
        <w:t>审判质效</w:t>
      </w:r>
      <w:r>
        <w:rPr>
          <w:rFonts w:hint="eastAsia"/>
        </w:rPr>
        <w:t>提升</w:t>
      </w:r>
      <w:r w:rsidRPr="00147FCB">
        <w:rPr>
          <w:rFonts w:hint="eastAsia"/>
        </w:rPr>
        <w:t>。</w:t>
      </w:r>
    </w:p>
    <w:p w:rsidR="00B4434A" w:rsidRDefault="00B4434A" w:rsidP="00B4434A">
      <w:pPr>
        <w:spacing w:line="360" w:lineRule="auto"/>
        <w:ind w:firstLineChars="196" w:firstLine="627"/>
      </w:pPr>
      <w:r>
        <w:rPr>
          <w:rFonts w:hint="eastAsia"/>
        </w:rPr>
        <w:t>本月初，本院党组将听取本院上半年审判运行态势分析报告</w:t>
      </w:r>
      <w:r w:rsidRPr="00B31484">
        <w:rPr>
          <w:rFonts w:hint="eastAsia"/>
        </w:rPr>
        <w:t>，</w:t>
      </w:r>
      <w:r>
        <w:rPr>
          <w:rFonts w:hint="eastAsia"/>
        </w:rPr>
        <w:t>届时将围绕结案率、结收比、发改率等各项审判执行重要指标</w:t>
      </w:r>
      <w:r w:rsidRPr="00B31484">
        <w:rPr>
          <w:rFonts w:hint="eastAsia"/>
        </w:rPr>
        <w:t>，</w:t>
      </w:r>
      <w:r>
        <w:rPr>
          <w:rFonts w:hint="eastAsia"/>
        </w:rPr>
        <w:t>提出</w:t>
      </w:r>
      <w:r w:rsidRPr="00B31484">
        <w:rPr>
          <w:rFonts w:hint="eastAsia"/>
        </w:rPr>
        <w:t>改进</w:t>
      </w:r>
      <w:r>
        <w:rPr>
          <w:rFonts w:hint="eastAsia"/>
        </w:rPr>
        <w:t>措施。</w:t>
      </w:r>
    </w:p>
    <w:p w:rsidR="00B4434A" w:rsidRDefault="00B4434A" w:rsidP="00B4434A">
      <w:pPr>
        <w:spacing w:line="360" w:lineRule="auto"/>
        <w:ind w:firstLineChars="196" w:firstLine="627"/>
        <w:rPr>
          <w:rFonts w:hint="eastAsia"/>
          <w:color w:val="000000"/>
        </w:rPr>
      </w:pPr>
    </w:p>
    <w:p w:rsidR="00B4434A" w:rsidRDefault="00B4434A" w:rsidP="00B4434A">
      <w:pPr>
        <w:spacing w:line="360" w:lineRule="auto"/>
        <w:ind w:firstLineChars="196" w:firstLine="627"/>
        <w:rPr>
          <w:rFonts w:hint="eastAsia"/>
          <w:color w:val="000000"/>
        </w:rPr>
      </w:pPr>
    </w:p>
    <w:p w:rsidR="00B4434A" w:rsidRDefault="00B4434A" w:rsidP="00B4434A">
      <w:pPr>
        <w:spacing w:line="360" w:lineRule="auto"/>
        <w:ind w:firstLineChars="196" w:firstLine="627"/>
        <w:rPr>
          <w:rFonts w:hint="eastAsia"/>
          <w:color w:val="000000"/>
        </w:rPr>
      </w:pPr>
    </w:p>
    <w:p w:rsidR="00B4434A" w:rsidRPr="001C63EC" w:rsidRDefault="00B4434A" w:rsidP="00B4434A">
      <w:pPr>
        <w:spacing w:line="360" w:lineRule="auto"/>
        <w:ind w:firstLineChars="196" w:firstLine="627"/>
        <w:rPr>
          <w:color w:val="000000"/>
        </w:rPr>
      </w:pPr>
      <w:r>
        <w:rPr>
          <w:rFonts w:hint="eastAsia"/>
          <w:color w:val="000000"/>
        </w:rPr>
        <w:t xml:space="preserve">                             二〇一八年七月三日</w:t>
      </w:r>
    </w:p>
    <w:p w:rsidR="009A17BF" w:rsidRDefault="009A17BF"/>
    <w:sectPr w:rsidR="009A17BF" w:rsidSect="00274805">
      <w:footerReference w:type="default" r:id="rId8"/>
      <w:pgSz w:w="11906" w:h="16838"/>
      <w:pgMar w:top="1440" w:right="1800" w:bottom="1440" w:left="1800" w:header="851" w:footer="850"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27" w:rsidRDefault="00416127" w:rsidP="00B4434A">
      <w:r>
        <w:separator/>
      </w:r>
    </w:p>
  </w:endnote>
  <w:endnote w:type="continuationSeparator" w:id="0">
    <w:p w:rsidR="00416127" w:rsidRDefault="00416127" w:rsidP="00B44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29" w:rsidRDefault="00416127">
    <w:pPr>
      <w:pStyle w:val="a4"/>
      <w:jc w:val="center"/>
    </w:pPr>
    <w:r>
      <w:fldChar w:fldCharType="begin"/>
    </w:r>
    <w:r>
      <w:instrText xml:space="preserve"> PAGE   \* MERGEFORM</w:instrText>
    </w:r>
    <w:r>
      <w:instrText xml:space="preserve">AT </w:instrText>
    </w:r>
    <w:r>
      <w:fldChar w:fldCharType="separate"/>
    </w:r>
    <w:r w:rsidR="008E3885" w:rsidRPr="008E3885">
      <w:rPr>
        <w:noProof/>
        <w:lang w:val="zh-CN"/>
      </w:rPr>
      <w:t>3</w:t>
    </w:r>
    <w:r>
      <w:fldChar w:fldCharType="end"/>
    </w:r>
  </w:p>
  <w:p w:rsidR="00520B29" w:rsidRDefault="004161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27" w:rsidRDefault="00416127" w:rsidP="00B4434A">
      <w:r>
        <w:separator/>
      </w:r>
    </w:p>
  </w:footnote>
  <w:footnote w:type="continuationSeparator" w:id="0">
    <w:p w:rsidR="00416127" w:rsidRDefault="00416127" w:rsidP="00B44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34A"/>
    <w:rsid w:val="002F1A8E"/>
    <w:rsid w:val="00366574"/>
    <w:rsid w:val="00416127"/>
    <w:rsid w:val="004F0C21"/>
    <w:rsid w:val="008E3885"/>
    <w:rsid w:val="009A17BF"/>
    <w:rsid w:val="00B44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4A"/>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3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434A"/>
    <w:rPr>
      <w:sz w:val="18"/>
      <w:szCs w:val="18"/>
    </w:rPr>
  </w:style>
  <w:style w:type="paragraph" w:styleId="a4">
    <w:name w:val="footer"/>
    <w:basedOn w:val="a"/>
    <w:link w:val="Char0"/>
    <w:uiPriority w:val="99"/>
    <w:unhideWhenUsed/>
    <w:rsid w:val="00B443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434A"/>
    <w:rPr>
      <w:sz w:val="18"/>
      <w:szCs w:val="18"/>
    </w:rPr>
  </w:style>
  <w:style w:type="paragraph" w:styleId="a5">
    <w:name w:val="Balloon Text"/>
    <w:basedOn w:val="a"/>
    <w:link w:val="Char1"/>
    <w:uiPriority w:val="99"/>
    <w:semiHidden/>
    <w:unhideWhenUsed/>
    <w:rsid w:val="00B4434A"/>
    <w:rPr>
      <w:sz w:val="18"/>
      <w:szCs w:val="18"/>
    </w:rPr>
  </w:style>
  <w:style w:type="character" w:customStyle="1" w:styleId="Char1">
    <w:name w:val="批注框文本 Char"/>
    <w:basedOn w:val="a0"/>
    <w:link w:val="a5"/>
    <w:uiPriority w:val="99"/>
    <w:semiHidden/>
    <w:rsid w:val="00B4434A"/>
    <w:rPr>
      <w:rFonts w:ascii="仿宋_GB2312" w:eastAsia="仿宋_GB2312" w:hAnsi="宋体" w:cs="Times New Roman"/>
      <w:sz w:val="18"/>
      <w:szCs w:val="18"/>
    </w:rPr>
  </w:style>
  <w:style w:type="paragraph" w:styleId="a6">
    <w:name w:val="caption"/>
    <w:basedOn w:val="a"/>
    <w:next w:val="a"/>
    <w:uiPriority w:val="35"/>
    <w:unhideWhenUsed/>
    <w:qFormat/>
    <w:rsid w:val="00B4434A"/>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2017年上半年审执结案件</c:v>
                </c:pt>
              </c:strCache>
            </c:strRef>
          </c:tx>
          <c:spPr>
            <a:solidFill>
              <a:srgbClr val="00B0F0"/>
            </a:solidFill>
          </c:spPr>
          <c:dLbls>
            <c:showVal val="1"/>
          </c:dLbls>
          <c:cat>
            <c:strRef>
              <c:f>Sheet1!$A$2:$A$5</c:f>
              <c:strCache>
                <c:ptCount val="4"/>
                <c:pt idx="0">
                  <c:v>旧存</c:v>
                </c:pt>
                <c:pt idx="1">
                  <c:v>新收</c:v>
                </c:pt>
                <c:pt idx="2">
                  <c:v>已结</c:v>
                </c:pt>
                <c:pt idx="3">
                  <c:v>未结</c:v>
                </c:pt>
              </c:strCache>
            </c:strRef>
          </c:cat>
          <c:val>
            <c:numRef>
              <c:f>Sheet1!$B$2:$B$5</c:f>
              <c:numCache>
                <c:formatCode>General</c:formatCode>
                <c:ptCount val="4"/>
                <c:pt idx="0">
                  <c:v>26</c:v>
                </c:pt>
                <c:pt idx="1">
                  <c:v>215</c:v>
                </c:pt>
                <c:pt idx="2">
                  <c:v>186</c:v>
                </c:pt>
                <c:pt idx="3">
                  <c:v>55</c:v>
                </c:pt>
              </c:numCache>
            </c:numRef>
          </c:val>
        </c:ser>
        <c:ser>
          <c:idx val="1"/>
          <c:order val="1"/>
          <c:tx>
            <c:strRef>
              <c:f>Sheet1!$C$1</c:f>
              <c:strCache>
                <c:ptCount val="1"/>
                <c:pt idx="0">
                  <c:v>2018年上半年审执结案件</c:v>
                </c:pt>
              </c:strCache>
            </c:strRef>
          </c:tx>
          <c:spPr>
            <a:solidFill>
              <a:schemeClr val="accent6"/>
            </a:solidFill>
          </c:spPr>
          <c:dLbls>
            <c:showVal val="1"/>
          </c:dLbls>
          <c:cat>
            <c:strRef>
              <c:f>Sheet1!$A$2:$A$5</c:f>
              <c:strCache>
                <c:ptCount val="4"/>
                <c:pt idx="0">
                  <c:v>旧存</c:v>
                </c:pt>
                <c:pt idx="1">
                  <c:v>新收</c:v>
                </c:pt>
                <c:pt idx="2">
                  <c:v>已结</c:v>
                </c:pt>
                <c:pt idx="3">
                  <c:v>未结</c:v>
                </c:pt>
              </c:strCache>
            </c:strRef>
          </c:cat>
          <c:val>
            <c:numRef>
              <c:f>Sheet1!$C$2:$C$5</c:f>
              <c:numCache>
                <c:formatCode>General</c:formatCode>
                <c:ptCount val="4"/>
                <c:pt idx="0">
                  <c:v>27</c:v>
                </c:pt>
                <c:pt idx="1">
                  <c:v>159</c:v>
                </c:pt>
                <c:pt idx="2">
                  <c:v>156</c:v>
                </c:pt>
                <c:pt idx="3">
                  <c:v>30</c:v>
                </c:pt>
              </c:numCache>
            </c:numRef>
          </c:val>
        </c:ser>
        <c:axId val="199213440"/>
        <c:axId val="199217920"/>
      </c:barChart>
      <c:catAx>
        <c:axId val="199213440"/>
        <c:scaling>
          <c:orientation val="minMax"/>
        </c:scaling>
        <c:axPos val="b"/>
        <c:tickLblPos val="nextTo"/>
        <c:crossAx val="199217920"/>
        <c:crosses val="autoZero"/>
        <c:auto val="1"/>
        <c:lblAlgn val="ctr"/>
        <c:lblOffset val="100"/>
      </c:catAx>
      <c:valAx>
        <c:axId val="199217920"/>
        <c:scaling>
          <c:orientation val="minMax"/>
        </c:scaling>
        <c:axPos val="l"/>
        <c:majorGridlines/>
        <c:numFmt formatCode="General" sourceLinked="1"/>
        <c:tickLblPos val="nextTo"/>
        <c:crossAx val="199213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2018年上半年平均审理天数同比情况对比</c:v>
                </c:pt>
              </c:strCache>
            </c:strRef>
          </c:tx>
          <c:dPt>
            <c:idx val="0"/>
            <c:spPr>
              <a:solidFill>
                <a:srgbClr val="FFFF00"/>
              </a:solidFill>
            </c:spPr>
          </c:dPt>
          <c:dPt>
            <c:idx val="1"/>
            <c:spPr>
              <a:solidFill>
                <a:srgbClr val="92D050"/>
              </a:solidFill>
            </c:spPr>
          </c:dPt>
          <c:dLbls>
            <c:showVal val="1"/>
            <c:showLeaderLines val="1"/>
          </c:dLbls>
          <c:cat>
            <c:strRef>
              <c:f>Sheet1!$A$2:$A$3</c:f>
              <c:strCache>
                <c:ptCount val="2"/>
                <c:pt idx="0">
                  <c:v>2017年上半年平均审理天数</c:v>
                </c:pt>
                <c:pt idx="1">
                  <c:v>2018年上半年平均审理天数</c:v>
                </c:pt>
              </c:strCache>
            </c:strRef>
          </c:cat>
          <c:val>
            <c:numRef>
              <c:f>Sheet1!$B$2:$B$3</c:f>
              <c:numCache>
                <c:formatCode>General</c:formatCode>
                <c:ptCount val="2"/>
                <c:pt idx="0">
                  <c:v>38.1</c:v>
                </c:pt>
                <c:pt idx="1">
                  <c:v>24.8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2018-07-09T03:20:00Z</cp:lastPrinted>
  <dcterms:created xsi:type="dcterms:W3CDTF">2018-07-09T03:22:00Z</dcterms:created>
  <dcterms:modified xsi:type="dcterms:W3CDTF">2018-07-09T03:22:00Z</dcterms:modified>
</cp:coreProperties>
</file>