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A1" w:rsidRPr="00D22728" w:rsidRDefault="001D3C7A" w:rsidP="00161267">
      <w:pPr>
        <w:spacing w:after="0"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22728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="00277473" w:rsidRPr="00D22728">
        <w:rPr>
          <w:rFonts w:asciiTheme="majorEastAsia" w:eastAsiaTheme="majorEastAsia" w:hAnsiTheme="majorEastAsia" w:hint="eastAsia"/>
          <w:b/>
          <w:sz w:val="44"/>
          <w:szCs w:val="44"/>
        </w:rPr>
        <w:t>01</w:t>
      </w:r>
      <w:r w:rsidR="00277473" w:rsidRPr="00D22728">
        <w:rPr>
          <w:rFonts w:asciiTheme="majorEastAsia" w:eastAsiaTheme="majorEastAsia" w:hAnsiTheme="majorEastAsia"/>
          <w:b/>
          <w:sz w:val="44"/>
          <w:szCs w:val="44"/>
        </w:rPr>
        <w:t>9</w:t>
      </w:r>
      <w:r w:rsidR="006443A1" w:rsidRPr="00D22728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277473" w:rsidRPr="00D22728">
        <w:rPr>
          <w:rFonts w:asciiTheme="majorEastAsia" w:eastAsiaTheme="majorEastAsia" w:hAnsiTheme="majorEastAsia" w:hint="eastAsia"/>
          <w:b/>
          <w:sz w:val="44"/>
          <w:szCs w:val="44"/>
        </w:rPr>
        <w:t>第一季度</w:t>
      </w:r>
      <w:r w:rsidR="006443A1" w:rsidRPr="00D22728">
        <w:rPr>
          <w:rFonts w:asciiTheme="majorEastAsia" w:eastAsiaTheme="majorEastAsia" w:hAnsiTheme="majorEastAsia" w:hint="eastAsia"/>
          <w:b/>
          <w:sz w:val="44"/>
          <w:szCs w:val="44"/>
        </w:rPr>
        <w:t>审判情况及态势分析</w:t>
      </w:r>
    </w:p>
    <w:p w:rsidR="00D22728" w:rsidRDefault="00D22728" w:rsidP="00161267">
      <w:pPr>
        <w:spacing w:after="0" w:line="220" w:lineRule="atLeas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D22728" w:rsidRDefault="00D22728" w:rsidP="00161267">
      <w:pPr>
        <w:spacing w:after="0" w:line="220" w:lineRule="atLeas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6443A1" w:rsidRPr="00D22728" w:rsidRDefault="0082730F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22728">
        <w:rPr>
          <w:rFonts w:ascii="仿宋" w:eastAsia="仿宋" w:hAnsi="仿宋" w:hint="eastAsia"/>
          <w:sz w:val="32"/>
          <w:szCs w:val="32"/>
        </w:rPr>
        <w:t>根据</w:t>
      </w:r>
      <w:r w:rsidR="00A028A4" w:rsidRPr="00D22728">
        <w:rPr>
          <w:rFonts w:ascii="仿宋" w:eastAsia="仿宋" w:hAnsi="仿宋" w:hint="eastAsia"/>
          <w:sz w:val="32"/>
          <w:szCs w:val="32"/>
        </w:rPr>
        <w:t>数字法院业务应用系统、中国裁判文书网提取的珲春林区基层</w:t>
      </w:r>
      <w:r w:rsidR="006443A1" w:rsidRPr="00D22728">
        <w:rPr>
          <w:rFonts w:ascii="仿宋" w:eastAsia="仿宋" w:hAnsi="仿宋" w:hint="eastAsia"/>
          <w:sz w:val="32"/>
          <w:szCs w:val="32"/>
        </w:rPr>
        <w:t>法院办案数据，我们对</w:t>
      </w:r>
      <w:r w:rsidR="00A028A4" w:rsidRPr="00D22728">
        <w:rPr>
          <w:rFonts w:ascii="仿宋" w:eastAsia="仿宋" w:hAnsi="仿宋" w:hint="eastAsia"/>
          <w:sz w:val="32"/>
          <w:szCs w:val="32"/>
        </w:rPr>
        <w:t>2019</w:t>
      </w:r>
      <w:r w:rsidR="006443A1" w:rsidRPr="00D22728">
        <w:rPr>
          <w:rFonts w:ascii="仿宋" w:eastAsia="仿宋" w:hAnsi="仿宋" w:hint="eastAsia"/>
          <w:sz w:val="32"/>
          <w:szCs w:val="32"/>
        </w:rPr>
        <w:t>年1月1日至</w:t>
      </w:r>
      <w:r w:rsidR="00A028A4" w:rsidRPr="00D22728">
        <w:rPr>
          <w:rFonts w:ascii="仿宋" w:eastAsia="仿宋" w:hAnsi="仿宋" w:hint="eastAsia"/>
          <w:sz w:val="32"/>
          <w:szCs w:val="32"/>
        </w:rPr>
        <w:t>2019</w:t>
      </w:r>
      <w:r w:rsidR="006443A1" w:rsidRPr="00D22728">
        <w:rPr>
          <w:rFonts w:ascii="仿宋" w:eastAsia="仿宋" w:hAnsi="仿宋" w:hint="eastAsia"/>
          <w:sz w:val="32"/>
          <w:szCs w:val="32"/>
        </w:rPr>
        <w:t>年</w:t>
      </w:r>
      <w:r w:rsidR="00A028A4" w:rsidRPr="00D22728">
        <w:rPr>
          <w:rFonts w:ascii="仿宋" w:eastAsia="仿宋" w:hAnsi="仿宋" w:hint="eastAsia"/>
          <w:sz w:val="32"/>
          <w:szCs w:val="32"/>
        </w:rPr>
        <w:t>3</w:t>
      </w:r>
      <w:r w:rsidR="006443A1" w:rsidRPr="00D22728">
        <w:rPr>
          <w:rFonts w:ascii="仿宋" w:eastAsia="仿宋" w:hAnsi="仿宋" w:hint="eastAsia"/>
          <w:sz w:val="32"/>
          <w:szCs w:val="32"/>
        </w:rPr>
        <w:t>月</w:t>
      </w:r>
      <w:r w:rsidR="00B1392E" w:rsidRPr="00D22728">
        <w:rPr>
          <w:rFonts w:ascii="仿宋" w:eastAsia="仿宋" w:hAnsi="仿宋" w:hint="eastAsia"/>
          <w:sz w:val="32"/>
          <w:szCs w:val="32"/>
        </w:rPr>
        <w:t>31日，珲春林区基层</w:t>
      </w:r>
      <w:r w:rsidR="006946F3" w:rsidRPr="00D22728">
        <w:rPr>
          <w:rFonts w:ascii="仿宋" w:eastAsia="仿宋" w:hAnsi="仿宋" w:hint="eastAsia"/>
          <w:sz w:val="32"/>
          <w:szCs w:val="32"/>
        </w:rPr>
        <w:t>法院审判执行工作情况进行了汇总分析。</w:t>
      </w:r>
    </w:p>
    <w:p w:rsidR="006443A1" w:rsidRPr="00D22728" w:rsidRDefault="006443A1" w:rsidP="00D22728">
      <w:pPr>
        <w:spacing w:after="0" w:line="220" w:lineRule="atLeast"/>
        <w:ind w:firstLineChars="200" w:firstLine="643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 w:rsidRPr="00D22728">
        <w:rPr>
          <w:rFonts w:asciiTheme="minorEastAsia" w:eastAsiaTheme="minorEastAsia" w:hAnsiTheme="minorEastAsia" w:hint="eastAsia"/>
          <w:b/>
          <w:sz w:val="32"/>
          <w:szCs w:val="32"/>
        </w:rPr>
        <w:t>一、</w:t>
      </w:r>
      <w:r w:rsidR="00B1392E" w:rsidRPr="00D22728">
        <w:rPr>
          <w:rFonts w:asciiTheme="minorEastAsia" w:eastAsiaTheme="minorEastAsia" w:hAnsiTheme="minorEastAsia" w:hint="eastAsia"/>
          <w:b/>
          <w:sz w:val="32"/>
          <w:szCs w:val="32"/>
        </w:rPr>
        <w:t>2019</w:t>
      </w:r>
      <w:r w:rsidRPr="00D22728">
        <w:rPr>
          <w:rFonts w:asciiTheme="minorEastAsia" w:eastAsiaTheme="minorEastAsia" w:hAnsiTheme="minorEastAsia" w:hint="eastAsia"/>
          <w:b/>
          <w:sz w:val="32"/>
          <w:szCs w:val="32"/>
        </w:rPr>
        <w:t>年</w:t>
      </w:r>
      <w:r w:rsidR="00B1392E" w:rsidRPr="00D22728">
        <w:rPr>
          <w:rFonts w:asciiTheme="minorEastAsia" w:eastAsiaTheme="minorEastAsia" w:hAnsiTheme="minorEastAsia" w:hint="eastAsia"/>
          <w:b/>
          <w:sz w:val="32"/>
          <w:szCs w:val="32"/>
        </w:rPr>
        <w:t>1-3月</w:t>
      </w:r>
      <w:r w:rsidRPr="00D22728">
        <w:rPr>
          <w:rFonts w:asciiTheme="minorEastAsia" w:eastAsiaTheme="minorEastAsia" w:hAnsiTheme="minorEastAsia" w:hint="eastAsia"/>
          <w:b/>
          <w:sz w:val="32"/>
          <w:szCs w:val="32"/>
        </w:rPr>
        <w:t>审判</w:t>
      </w:r>
      <w:r w:rsidR="000178F4" w:rsidRPr="00D22728">
        <w:rPr>
          <w:rFonts w:asciiTheme="minorEastAsia" w:eastAsiaTheme="minorEastAsia" w:hAnsiTheme="minorEastAsia" w:hint="eastAsia"/>
          <w:b/>
          <w:sz w:val="32"/>
          <w:szCs w:val="32"/>
        </w:rPr>
        <w:t>、</w:t>
      </w:r>
      <w:r w:rsidRPr="00D22728">
        <w:rPr>
          <w:rFonts w:asciiTheme="minorEastAsia" w:eastAsiaTheme="minorEastAsia" w:hAnsiTheme="minorEastAsia" w:hint="eastAsia"/>
          <w:b/>
          <w:sz w:val="32"/>
          <w:szCs w:val="32"/>
        </w:rPr>
        <w:t>执行工作总体情况</w:t>
      </w:r>
    </w:p>
    <w:p w:rsidR="006443A1" w:rsidRPr="00D22728" w:rsidRDefault="00B1392E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22728">
        <w:rPr>
          <w:rFonts w:ascii="仿宋" w:eastAsia="仿宋" w:hAnsi="仿宋" w:hint="eastAsia"/>
          <w:sz w:val="32"/>
          <w:szCs w:val="32"/>
        </w:rPr>
        <w:t>2019</w:t>
      </w:r>
      <w:r w:rsidR="006443A1" w:rsidRPr="00D22728">
        <w:rPr>
          <w:rFonts w:ascii="仿宋" w:eastAsia="仿宋" w:hAnsi="仿宋" w:hint="eastAsia"/>
          <w:sz w:val="32"/>
          <w:szCs w:val="32"/>
        </w:rPr>
        <w:t>年</w:t>
      </w:r>
      <w:r w:rsidRPr="00D22728">
        <w:rPr>
          <w:rFonts w:ascii="仿宋" w:eastAsia="仿宋" w:hAnsi="仿宋" w:hint="eastAsia"/>
          <w:sz w:val="32"/>
          <w:szCs w:val="32"/>
        </w:rPr>
        <w:t>1-3月共受理各类</w:t>
      </w:r>
      <w:r w:rsidR="006443A1" w:rsidRPr="00D22728">
        <w:rPr>
          <w:rFonts w:ascii="仿宋" w:eastAsia="仿宋" w:hAnsi="仿宋" w:hint="eastAsia"/>
          <w:sz w:val="32"/>
          <w:szCs w:val="32"/>
        </w:rPr>
        <w:t>案件</w:t>
      </w:r>
      <w:r w:rsidR="000178F4" w:rsidRPr="00D22728">
        <w:rPr>
          <w:rFonts w:ascii="仿宋" w:eastAsia="仿宋" w:hAnsi="仿宋" w:hint="eastAsia"/>
          <w:sz w:val="32"/>
          <w:szCs w:val="32"/>
        </w:rPr>
        <w:t>(含执行)</w:t>
      </w:r>
      <w:r w:rsidR="003C0F79" w:rsidRPr="00D22728">
        <w:rPr>
          <w:rFonts w:ascii="仿宋" w:eastAsia="仿宋" w:hAnsi="仿宋" w:hint="eastAsia"/>
          <w:sz w:val="32"/>
          <w:szCs w:val="32"/>
        </w:rPr>
        <w:t>67</w:t>
      </w:r>
      <w:r w:rsidR="00BD0873" w:rsidRPr="00D22728">
        <w:rPr>
          <w:rFonts w:ascii="仿宋" w:eastAsia="仿宋" w:hAnsi="仿宋" w:hint="eastAsia"/>
          <w:sz w:val="32"/>
          <w:szCs w:val="32"/>
        </w:rPr>
        <w:t>件。</w:t>
      </w:r>
      <w:r w:rsidR="006443A1" w:rsidRPr="00D22728">
        <w:rPr>
          <w:rFonts w:ascii="仿宋" w:eastAsia="仿宋" w:hAnsi="仿宋" w:hint="eastAsia"/>
          <w:sz w:val="32"/>
          <w:szCs w:val="32"/>
        </w:rPr>
        <w:t>其中</w:t>
      </w:r>
      <w:r w:rsidR="00BD0873" w:rsidRPr="00D22728">
        <w:rPr>
          <w:rFonts w:ascii="仿宋" w:eastAsia="仿宋" w:hAnsi="仿宋" w:hint="eastAsia"/>
          <w:sz w:val="32"/>
          <w:szCs w:val="32"/>
        </w:rPr>
        <w:t>，上</w:t>
      </w:r>
      <w:r w:rsidR="006443A1" w:rsidRPr="00D22728">
        <w:rPr>
          <w:rFonts w:ascii="仿宋" w:eastAsia="仿宋" w:hAnsi="仿宋" w:hint="eastAsia"/>
          <w:sz w:val="32"/>
          <w:szCs w:val="32"/>
        </w:rPr>
        <w:t>年转旧存</w:t>
      </w:r>
      <w:r w:rsidR="003C0F79" w:rsidRPr="00D22728">
        <w:rPr>
          <w:rFonts w:ascii="仿宋" w:eastAsia="仿宋" w:hAnsi="仿宋" w:hint="eastAsia"/>
          <w:sz w:val="32"/>
          <w:szCs w:val="32"/>
        </w:rPr>
        <w:t>7</w:t>
      </w:r>
      <w:r w:rsidR="006443A1" w:rsidRPr="00D22728">
        <w:rPr>
          <w:rFonts w:ascii="仿宋" w:eastAsia="仿宋" w:hAnsi="仿宋" w:hint="eastAsia"/>
          <w:sz w:val="32"/>
          <w:szCs w:val="32"/>
        </w:rPr>
        <w:t>件，新收</w:t>
      </w:r>
      <w:r w:rsidR="00743BAB" w:rsidRPr="00D22728">
        <w:rPr>
          <w:rFonts w:ascii="仿宋" w:eastAsia="仿宋" w:hAnsi="仿宋" w:hint="eastAsia"/>
          <w:sz w:val="32"/>
          <w:szCs w:val="32"/>
        </w:rPr>
        <w:t>60</w:t>
      </w:r>
      <w:r w:rsidR="00B07B68" w:rsidRPr="00D22728">
        <w:rPr>
          <w:rFonts w:ascii="仿宋" w:eastAsia="仿宋" w:hAnsi="仿宋" w:hint="eastAsia"/>
          <w:sz w:val="32"/>
          <w:szCs w:val="32"/>
        </w:rPr>
        <w:t>件；</w:t>
      </w:r>
      <w:r w:rsidR="006443A1" w:rsidRPr="00D22728">
        <w:rPr>
          <w:rFonts w:ascii="仿宋" w:eastAsia="仿宋" w:hAnsi="仿宋" w:hint="eastAsia"/>
          <w:sz w:val="32"/>
          <w:szCs w:val="32"/>
        </w:rPr>
        <w:t>结案</w:t>
      </w:r>
      <w:r w:rsidR="000178F4" w:rsidRPr="00D22728">
        <w:rPr>
          <w:rFonts w:ascii="仿宋" w:eastAsia="仿宋" w:hAnsi="仿宋" w:hint="eastAsia"/>
          <w:sz w:val="32"/>
          <w:szCs w:val="32"/>
        </w:rPr>
        <w:t>4</w:t>
      </w:r>
      <w:r w:rsidR="003C0F79" w:rsidRPr="00D22728">
        <w:rPr>
          <w:rFonts w:ascii="仿宋" w:eastAsia="仿宋" w:hAnsi="仿宋" w:hint="eastAsia"/>
          <w:sz w:val="32"/>
          <w:szCs w:val="32"/>
        </w:rPr>
        <w:t>8</w:t>
      </w:r>
      <w:r w:rsidR="006443A1" w:rsidRPr="00D22728">
        <w:rPr>
          <w:rFonts w:ascii="仿宋" w:eastAsia="仿宋" w:hAnsi="仿宋" w:hint="eastAsia"/>
          <w:sz w:val="32"/>
          <w:szCs w:val="32"/>
        </w:rPr>
        <w:t>件，结案率</w:t>
      </w:r>
      <w:r w:rsidR="00584818" w:rsidRPr="00D22728">
        <w:rPr>
          <w:rFonts w:ascii="仿宋" w:eastAsia="仿宋" w:hAnsi="仿宋" w:hint="eastAsia"/>
          <w:sz w:val="32"/>
          <w:szCs w:val="32"/>
        </w:rPr>
        <w:t>71.64</w:t>
      </w:r>
      <w:r w:rsidR="006443A1" w:rsidRPr="00D22728">
        <w:rPr>
          <w:rFonts w:ascii="仿宋" w:eastAsia="仿宋" w:hAnsi="仿宋" w:hint="eastAsia"/>
          <w:sz w:val="32"/>
          <w:szCs w:val="32"/>
        </w:rPr>
        <w:t>%</w:t>
      </w:r>
      <w:r w:rsidR="006E2F3C" w:rsidRPr="00D22728">
        <w:rPr>
          <w:rFonts w:ascii="仿宋" w:eastAsia="仿宋" w:hAnsi="仿宋" w:hint="eastAsia"/>
          <w:sz w:val="32"/>
          <w:szCs w:val="32"/>
        </w:rPr>
        <w:t>，结收比</w:t>
      </w:r>
      <w:r w:rsidR="003C0F79" w:rsidRPr="00D22728">
        <w:rPr>
          <w:rFonts w:ascii="仿宋" w:eastAsia="仿宋" w:hAnsi="仿宋" w:hint="eastAsia"/>
          <w:sz w:val="32"/>
          <w:szCs w:val="32"/>
        </w:rPr>
        <w:t>80.00</w:t>
      </w:r>
      <w:r w:rsidR="006E2F3C" w:rsidRPr="00D22728">
        <w:rPr>
          <w:rFonts w:ascii="仿宋" w:eastAsia="仿宋" w:hAnsi="仿宋" w:hint="eastAsia"/>
          <w:sz w:val="32"/>
          <w:szCs w:val="32"/>
        </w:rPr>
        <w:t>%</w:t>
      </w:r>
      <w:r w:rsidR="00B07B68" w:rsidRPr="00D22728">
        <w:rPr>
          <w:rFonts w:ascii="仿宋" w:eastAsia="仿宋" w:hAnsi="仿宋" w:hint="eastAsia"/>
          <w:sz w:val="32"/>
          <w:szCs w:val="32"/>
        </w:rPr>
        <w:t>；</w:t>
      </w:r>
      <w:r w:rsidR="006443A1" w:rsidRPr="00D22728">
        <w:rPr>
          <w:rFonts w:ascii="仿宋" w:eastAsia="仿宋" w:hAnsi="仿宋" w:hint="eastAsia"/>
          <w:sz w:val="32"/>
          <w:szCs w:val="32"/>
        </w:rPr>
        <w:t>截至</w:t>
      </w:r>
      <w:r w:rsidR="00B077C8" w:rsidRPr="00D22728">
        <w:rPr>
          <w:rFonts w:ascii="仿宋" w:eastAsia="仿宋" w:hAnsi="仿宋" w:hint="eastAsia"/>
          <w:sz w:val="32"/>
          <w:szCs w:val="32"/>
        </w:rPr>
        <w:t>2019</w:t>
      </w:r>
      <w:r w:rsidR="006443A1" w:rsidRPr="00D22728">
        <w:rPr>
          <w:rFonts w:ascii="仿宋" w:eastAsia="仿宋" w:hAnsi="仿宋" w:hint="eastAsia"/>
          <w:sz w:val="32"/>
          <w:szCs w:val="32"/>
        </w:rPr>
        <w:t>年</w:t>
      </w:r>
      <w:r w:rsidR="00B077C8" w:rsidRPr="00D22728">
        <w:rPr>
          <w:rFonts w:ascii="仿宋" w:eastAsia="仿宋" w:hAnsi="仿宋" w:hint="eastAsia"/>
          <w:sz w:val="32"/>
          <w:szCs w:val="32"/>
        </w:rPr>
        <w:t>3</w:t>
      </w:r>
      <w:r w:rsidR="006443A1" w:rsidRPr="00D22728">
        <w:rPr>
          <w:rFonts w:ascii="仿宋" w:eastAsia="仿宋" w:hAnsi="仿宋" w:hint="eastAsia"/>
          <w:sz w:val="32"/>
          <w:szCs w:val="32"/>
        </w:rPr>
        <w:t>月</w:t>
      </w:r>
      <w:r w:rsidR="00B077C8" w:rsidRPr="00D22728">
        <w:rPr>
          <w:rFonts w:ascii="仿宋" w:eastAsia="仿宋" w:hAnsi="仿宋" w:hint="eastAsia"/>
          <w:sz w:val="32"/>
          <w:szCs w:val="32"/>
        </w:rPr>
        <w:t>31</w:t>
      </w:r>
      <w:r w:rsidR="006443A1" w:rsidRPr="00D22728">
        <w:rPr>
          <w:rFonts w:ascii="仿宋" w:eastAsia="仿宋" w:hAnsi="仿宋" w:hint="eastAsia"/>
          <w:sz w:val="32"/>
          <w:szCs w:val="32"/>
        </w:rPr>
        <w:t>日，未结案件</w:t>
      </w:r>
      <w:r w:rsidR="00584818" w:rsidRPr="00D22728">
        <w:rPr>
          <w:rFonts w:ascii="仿宋" w:eastAsia="仿宋" w:hAnsi="仿宋" w:hint="eastAsia"/>
          <w:sz w:val="32"/>
          <w:szCs w:val="32"/>
        </w:rPr>
        <w:t>19</w:t>
      </w:r>
      <w:r w:rsidR="006443A1" w:rsidRPr="00D22728">
        <w:rPr>
          <w:rFonts w:ascii="仿宋" w:eastAsia="仿宋" w:hAnsi="仿宋" w:hint="eastAsia"/>
          <w:sz w:val="32"/>
          <w:szCs w:val="32"/>
        </w:rPr>
        <w:t>件。</w:t>
      </w:r>
    </w:p>
    <w:p w:rsidR="00D66543" w:rsidRDefault="006443A1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22728">
        <w:rPr>
          <w:rFonts w:ascii="仿宋" w:eastAsia="仿宋" w:hAnsi="仿宋" w:hint="eastAsia"/>
          <w:sz w:val="32"/>
          <w:szCs w:val="32"/>
        </w:rPr>
        <w:t>与去年同期相比，旧存</w:t>
      </w:r>
      <w:r w:rsidR="005A2CD1" w:rsidRPr="00D22728">
        <w:rPr>
          <w:rFonts w:ascii="仿宋" w:eastAsia="仿宋" w:hAnsi="仿宋" w:hint="eastAsia"/>
          <w:sz w:val="32"/>
          <w:szCs w:val="32"/>
        </w:rPr>
        <w:t>减少19件，下降73.08</w:t>
      </w:r>
      <w:r w:rsidRPr="00D22728">
        <w:rPr>
          <w:rFonts w:ascii="仿宋" w:eastAsia="仿宋" w:hAnsi="仿宋" w:hint="eastAsia"/>
          <w:sz w:val="32"/>
          <w:szCs w:val="32"/>
        </w:rPr>
        <w:t>%</w:t>
      </w:r>
      <w:r w:rsidR="00FB1A59" w:rsidRPr="00D22728">
        <w:rPr>
          <w:rFonts w:ascii="仿宋" w:eastAsia="仿宋" w:hAnsi="仿宋" w:hint="eastAsia"/>
          <w:sz w:val="32"/>
          <w:szCs w:val="32"/>
        </w:rPr>
        <w:t>；</w:t>
      </w:r>
      <w:r w:rsidRPr="00D22728">
        <w:rPr>
          <w:rFonts w:ascii="仿宋" w:eastAsia="仿宋" w:hAnsi="仿宋" w:hint="eastAsia"/>
          <w:sz w:val="32"/>
          <w:szCs w:val="32"/>
        </w:rPr>
        <w:t>新收</w:t>
      </w:r>
      <w:r w:rsidR="005A2CD1" w:rsidRPr="00D22728">
        <w:rPr>
          <w:rFonts w:ascii="仿宋" w:eastAsia="仿宋" w:hAnsi="仿宋" w:hint="eastAsia"/>
          <w:sz w:val="32"/>
          <w:szCs w:val="32"/>
        </w:rPr>
        <w:t>减少28件，下降</w:t>
      </w:r>
      <w:r w:rsidR="00BD7C17" w:rsidRPr="00D22728">
        <w:rPr>
          <w:rFonts w:ascii="仿宋" w:eastAsia="仿宋" w:hAnsi="仿宋" w:hint="eastAsia"/>
          <w:sz w:val="32"/>
          <w:szCs w:val="32"/>
        </w:rPr>
        <w:t>31.82</w:t>
      </w:r>
      <w:r w:rsidRPr="00D22728">
        <w:rPr>
          <w:rFonts w:ascii="仿宋" w:eastAsia="仿宋" w:hAnsi="仿宋" w:hint="eastAsia"/>
          <w:sz w:val="32"/>
          <w:szCs w:val="32"/>
        </w:rPr>
        <w:t>%</w:t>
      </w:r>
      <w:r w:rsidR="00B7173A" w:rsidRPr="00D22728">
        <w:rPr>
          <w:rFonts w:ascii="仿宋" w:eastAsia="仿宋" w:hAnsi="仿宋" w:hint="eastAsia"/>
          <w:sz w:val="32"/>
          <w:szCs w:val="32"/>
        </w:rPr>
        <w:t>。</w:t>
      </w:r>
      <w:r w:rsidRPr="00D22728">
        <w:rPr>
          <w:rFonts w:ascii="仿宋" w:eastAsia="仿宋" w:hAnsi="仿宋" w:hint="eastAsia"/>
          <w:sz w:val="32"/>
          <w:szCs w:val="32"/>
        </w:rPr>
        <w:t>旧存加新收合计</w:t>
      </w:r>
      <w:r w:rsidR="00BD7C17" w:rsidRPr="00D22728">
        <w:rPr>
          <w:rFonts w:ascii="仿宋" w:eastAsia="仿宋" w:hAnsi="仿宋" w:hint="eastAsia"/>
          <w:sz w:val="32"/>
          <w:szCs w:val="32"/>
        </w:rPr>
        <w:t>减少47件，下降</w:t>
      </w:r>
      <w:r w:rsidR="00F471A4" w:rsidRPr="00D22728">
        <w:rPr>
          <w:rFonts w:ascii="仿宋" w:eastAsia="仿宋" w:hAnsi="仿宋"/>
          <w:color w:val="FF0000"/>
          <w:sz w:val="32"/>
          <w:szCs w:val="32"/>
        </w:rPr>
        <w:t xml:space="preserve"> </w:t>
      </w:r>
      <w:r w:rsidR="00BD7C17" w:rsidRPr="00D22728">
        <w:rPr>
          <w:rFonts w:ascii="仿宋" w:eastAsia="仿宋" w:hAnsi="仿宋" w:hint="eastAsia"/>
          <w:sz w:val="32"/>
          <w:szCs w:val="32"/>
        </w:rPr>
        <w:t>41.23</w:t>
      </w:r>
      <w:r w:rsidRPr="00D22728">
        <w:rPr>
          <w:rFonts w:ascii="仿宋" w:eastAsia="仿宋" w:hAnsi="仿宋" w:hint="eastAsia"/>
          <w:sz w:val="32"/>
          <w:szCs w:val="32"/>
        </w:rPr>
        <w:t>%</w:t>
      </w:r>
      <w:r w:rsidR="00B7173A" w:rsidRPr="00D22728">
        <w:rPr>
          <w:rFonts w:ascii="仿宋" w:eastAsia="仿宋" w:hAnsi="仿宋" w:hint="eastAsia"/>
          <w:sz w:val="32"/>
          <w:szCs w:val="32"/>
        </w:rPr>
        <w:t>。</w:t>
      </w:r>
      <w:r w:rsidRPr="00D22728">
        <w:rPr>
          <w:rFonts w:ascii="仿宋" w:eastAsia="仿宋" w:hAnsi="仿宋" w:hint="eastAsia"/>
          <w:sz w:val="32"/>
          <w:szCs w:val="32"/>
        </w:rPr>
        <w:t>结案增加</w:t>
      </w:r>
      <w:r w:rsidR="00BD7C17" w:rsidRPr="00D22728">
        <w:rPr>
          <w:rFonts w:ascii="仿宋" w:eastAsia="仿宋" w:hAnsi="仿宋" w:hint="eastAsia"/>
          <w:sz w:val="32"/>
          <w:szCs w:val="32"/>
        </w:rPr>
        <w:t>5</w:t>
      </w:r>
      <w:r w:rsidRPr="00D22728">
        <w:rPr>
          <w:rFonts w:ascii="仿宋" w:eastAsia="仿宋" w:hAnsi="仿宋" w:hint="eastAsia"/>
          <w:sz w:val="32"/>
          <w:szCs w:val="32"/>
        </w:rPr>
        <w:t>件，上升</w:t>
      </w:r>
      <w:r w:rsidR="00BD7C17" w:rsidRPr="00D22728">
        <w:rPr>
          <w:rFonts w:ascii="仿宋" w:eastAsia="仿宋" w:hAnsi="仿宋" w:hint="eastAsia"/>
          <w:sz w:val="32"/>
          <w:szCs w:val="32"/>
        </w:rPr>
        <w:t>11.63</w:t>
      </w:r>
      <w:r w:rsidRPr="00D22728">
        <w:rPr>
          <w:rFonts w:ascii="仿宋" w:eastAsia="仿宋" w:hAnsi="仿宋" w:hint="eastAsia"/>
          <w:sz w:val="32"/>
          <w:szCs w:val="32"/>
        </w:rPr>
        <w:t>%；结案率上升</w:t>
      </w:r>
      <w:r w:rsidR="00BD7C17" w:rsidRPr="00D22728">
        <w:rPr>
          <w:rFonts w:ascii="仿宋" w:eastAsia="仿宋" w:hAnsi="仿宋" w:hint="eastAsia"/>
          <w:sz w:val="32"/>
          <w:szCs w:val="32"/>
        </w:rPr>
        <w:t>33.92</w:t>
      </w:r>
      <w:r w:rsidR="005B7C68" w:rsidRPr="00D22728">
        <w:rPr>
          <w:rFonts w:ascii="仿宋" w:eastAsia="仿宋" w:hAnsi="仿宋" w:hint="eastAsia"/>
          <w:sz w:val="32"/>
          <w:szCs w:val="32"/>
        </w:rPr>
        <w:t>个百分点</w:t>
      </w:r>
      <w:r w:rsidRPr="00D22728">
        <w:rPr>
          <w:rFonts w:ascii="仿宋" w:eastAsia="仿宋" w:hAnsi="仿宋" w:hint="eastAsia"/>
          <w:sz w:val="32"/>
          <w:szCs w:val="32"/>
        </w:rPr>
        <w:t>；未结案件减少</w:t>
      </w:r>
      <w:r w:rsidR="00FC7390" w:rsidRPr="00D22728">
        <w:rPr>
          <w:rFonts w:ascii="仿宋" w:eastAsia="仿宋" w:hAnsi="仿宋" w:hint="eastAsia"/>
          <w:sz w:val="32"/>
          <w:szCs w:val="32"/>
        </w:rPr>
        <w:t>52</w:t>
      </w:r>
      <w:r w:rsidRPr="00D22728">
        <w:rPr>
          <w:rFonts w:ascii="仿宋" w:eastAsia="仿宋" w:hAnsi="仿宋" w:hint="eastAsia"/>
          <w:sz w:val="32"/>
          <w:szCs w:val="32"/>
        </w:rPr>
        <w:t>件，下降</w:t>
      </w:r>
      <w:r w:rsidR="00FC7390" w:rsidRPr="00D22728">
        <w:rPr>
          <w:rFonts w:ascii="仿宋" w:eastAsia="仿宋" w:hAnsi="仿宋" w:hint="eastAsia"/>
          <w:sz w:val="32"/>
          <w:szCs w:val="32"/>
        </w:rPr>
        <w:t>73.24</w:t>
      </w:r>
      <w:r w:rsidRPr="00D22728">
        <w:rPr>
          <w:rFonts w:ascii="仿宋" w:eastAsia="仿宋" w:hAnsi="仿宋" w:hint="eastAsia"/>
          <w:sz w:val="32"/>
          <w:szCs w:val="32"/>
        </w:rPr>
        <w:t>%。</w:t>
      </w:r>
      <w:r w:rsidR="0065696E" w:rsidRPr="00D22728">
        <w:rPr>
          <w:rFonts w:ascii="仿宋" w:eastAsia="仿宋" w:hAnsi="仿宋" w:hint="eastAsia"/>
          <w:sz w:val="32"/>
          <w:szCs w:val="32"/>
        </w:rPr>
        <w:t>（</w:t>
      </w:r>
      <w:r w:rsidR="00414F17" w:rsidRPr="00D22728">
        <w:rPr>
          <w:rFonts w:ascii="仿宋" w:eastAsia="仿宋" w:hAnsi="仿宋" w:hint="eastAsia"/>
          <w:sz w:val="32"/>
          <w:szCs w:val="32"/>
        </w:rPr>
        <w:t>具体</w:t>
      </w:r>
      <w:r w:rsidR="0065696E" w:rsidRPr="00D22728">
        <w:rPr>
          <w:rFonts w:ascii="仿宋" w:eastAsia="仿宋" w:hAnsi="仿宋" w:hint="eastAsia"/>
          <w:sz w:val="32"/>
          <w:szCs w:val="32"/>
        </w:rPr>
        <w:t>情况参照图表一）</w:t>
      </w:r>
    </w:p>
    <w:p w:rsidR="00CF3E69" w:rsidRDefault="00CF3E69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CF3E69" w:rsidRPr="00D22728" w:rsidRDefault="00CF3E69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1E0C10" w:rsidRDefault="007265B1" w:rsidP="00161267">
      <w:pPr>
        <w:spacing w:after="0" w:line="360" w:lineRule="auto"/>
        <w:jc w:val="both"/>
        <w:rPr>
          <w:rFonts w:ascii="黑体" w:eastAsia="黑体" w:hAnsi="黑体"/>
          <w:sz w:val="30"/>
          <w:szCs w:val="30"/>
        </w:rPr>
      </w:pPr>
      <w:r w:rsidRPr="007265B1">
        <w:rPr>
          <w:rFonts w:ascii="黑体" w:eastAsia="黑体" w:hAnsi="黑体"/>
          <w:noProof/>
          <w:sz w:val="30"/>
          <w:szCs w:val="30"/>
        </w:rPr>
        <w:drawing>
          <wp:inline distT="0" distB="0" distL="0" distR="0">
            <wp:extent cx="5274310" cy="3076575"/>
            <wp:effectExtent l="19050" t="0" r="21590" b="0"/>
            <wp:docPr id="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12C7" w:rsidRDefault="008212C7" w:rsidP="00161267">
      <w:pPr>
        <w:spacing w:after="0" w:line="220" w:lineRule="atLeas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CC1C9A" w:rsidRDefault="00CC1C9A" w:rsidP="00D22728">
      <w:pPr>
        <w:spacing w:after="0" w:line="220" w:lineRule="atLeast"/>
        <w:ind w:firstLineChars="200" w:firstLine="643"/>
        <w:jc w:val="both"/>
        <w:rPr>
          <w:rFonts w:asciiTheme="minorEastAsia" w:eastAsiaTheme="minorEastAsia" w:hAnsiTheme="minorEastAsia"/>
          <w:b/>
          <w:sz w:val="32"/>
          <w:szCs w:val="32"/>
        </w:rPr>
      </w:pPr>
    </w:p>
    <w:p w:rsidR="00CC1C9A" w:rsidRDefault="00CC1C9A" w:rsidP="00D22728">
      <w:pPr>
        <w:spacing w:after="0" w:line="220" w:lineRule="atLeast"/>
        <w:ind w:firstLineChars="200" w:firstLine="643"/>
        <w:jc w:val="both"/>
        <w:rPr>
          <w:rFonts w:asciiTheme="minorEastAsia" w:eastAsiaTheme="minorEastAsia" w:hAnsiTheme="minorEastAsia"/>
          <w:b/>
          <w:sz w:val="32"/>
          <w:szCs w:val="32"/>
        </w:rPr>
      </w:pPr>
    </w:p>
    <w:p w:rsidR="00CC1C9A" w:rsidRDefault="00CC1C9A" w:rsidP="00D22728">
      <w:pPr>
        <w:spacing w:after="0" w:line="220" w:lineRule="atLeast"/>
        <w:ind w:firstLineChars="200" w:firstLine="643"/>
        <w:jc w:val="both"/>
        <w:rPr>
          <w:rFonts w:asciiTheme="minorEastAsia" w:eastAsiaTheme="minorEastAsia" w:hAnsiTheme="minorEastAsia"/>
          <w:b/>
          <w:sz w:val="32"/>
          <w:szCs w:val="32"/>
        </w:rPr>
      </w:pPr>
    </w:p>
    <w:p w:rsidR="006443A1" w:rsidRPr="00D22728" w:rsidRDefault="006443A1" w:rsidP="00D22728">
      <w:pPr>
        <w:spacing w:after="0" w:line="220" w:lineRule="atLeast"/>
        <w:ind w:firstLineChars="200" w:firstLine="643"/>
        <w:jc w:val="both"/>
        <w:rPr>
          <w:rFonts w:asciiTheme="minorEastAsia" w:eastAsiaTheme="minorEastAsia" w:hAnsiTheme="minorEastAsia"/>
          <w:b/>
          <w:color w:val="FF0000"/>
          <w:sz w:val="32"/>
          <w:szCs w:val="32"/>
        </w:rPr>
      </w:pPr>
      <w:r w:rsidRPr="00D22728">
        <w:rPr>
          <w:rFonts w:asciiTheme="minorEastAsia" w:eastAsiaTheme="minorEastAsia" w:hAnsiTheme="minorEastAsia" w:hint="eastAsia"/>
          <w:b/>
          <w:sz w:val="32"/>
          <w:szCs w:val="32"/>
        </w:rPr>
        <w:t>二、</w:t>
      </w:r>
      <w:r w:rsidR="00C13542" w:rsidRPr="00D22728">
        <w:rPr>
          <w:rFonts w:asciiTheme="minorEastAsia" w:eastAsiaTheme="minorEastAsia" w:hAnsiTheme="minorEastAsia" w:hint="eastAsia"/>
          <w:b/>
          <w:sz w:val="32"/>
          <w:szCs w:val="32"/>
        </w:rPr>
        <w:t>2019</w:t>
      </w:r>
      <w:r w:rsidRPr="00D22728">
        <w:rPr>
          <w:rFonts w:asciiTheme="minorEastAsia" w:eastAsiaTheme="minorEastAsia" w:hAnsiTheme="minorEastAsia" w:hint="eastAsia"/>
          <w:b/>
          <w:sz w:val="32"/>
          <w:szCs w:val="32"/>
        </w:rPr>
        <w:t>年</w:t>
      </w:r>
      <w:r w:rsidR="00C13542" w:rsidRPr="00D22728">
        <w:rPr>
          <w:rFonts w:asciiTheme="minorEastAsia" w:eastAsiaTheme="minorEastAsia" w:hAnsiTheme="minorEastAsia" w:hint="eastAsia"/>
          <w:b/>
          <w:sz w:val="32"/>
          <w:szCs w:val="32"/>
        </w:rPr>
        <w:t>1-3</w:t>
      </w:r>
      <w:r w:rsidR="00065BF0" w:rsidRPr="00D22728">
        <w:rPr>
          <w:rFonts w:asciiTheme="minorEastAsia" w:eastAsiaTheme="minorEastAsia" w:hAnsiTheme="minorEastAsia" w:hint="eastAsia"/>
          <w:b/>
          <w:sz w:val="32"/>
          <w:szCs w:val="32"/>
        </w:rPr>
        <w:t>月</w:t>
      </w:r>
      <w:r w:rsidRPr="00D22728">
        <w:rPr>
          <w:rFonts w:asciiTheme="minorEastAsia" w:eastAsiaTheme="minorEastAsia" w:hAnsiTheme="minorEastAsia" w:hint="eastAsia"/>
          <w:b/>
          <w:sz w:val="32"/>
          <w:szCs w:val="32"/>
        </w:rPr>
        <w:t>案件总体情况</w:t>
      </w:r>
    </w:p>
    <w:p w:rsidR="006443A1" w:rsidRPr="00D22728" w:rsidRDefault="006443A1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D22728">
        <w:rPr>
          <w:rFonts w:ascii="黑体" w:eastAsia="黑体" w:hAnsi="黑体" w:hint="eastAsia"/>
          <w:sz w:val="32"/>
          <w:szCs w:val="32"/>
        </w:rPr>
        <w:t>（一）诉讼案件总体情况</w:t>
      </w:r>
    </w:p>
    <w:p w:rsidR="006443A1" w:rsidRPr="00A97415" w:rsidRDefault="006443A1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共受理诉讼案件</w:t>
      </w:r>
      <w:r w:rsidR="00031E27" w:rsidRPr="00A97415">
        <w:rPr>
          <w:rFonts w:ascii="仿宋" w:eastAsia="仿宋" w:hAnsi="仿宋" w:hint="eastAsia"/>
          <w:sz w:val="32"/>
          <w:szCs w:val="32"/>
        </w:rPr>
        <w:t>29</w:t>
      </w:r>
      <w:r w:rsidR="00371FA2" w:rsidRPr="00A97415">
        <w:rPr>
          <w:rFonts w:ascii="仿宋" w:eastAsia="仿宋" w:hAnsi="仿宋" w:hint="eastAsia"/>
          <w:sz w:val="32"/>
          <w:szCs w:val="32"/>
        </w:rPr>
        <w:t>件。</w:t>
      </w:r>
      <w:r w:rsidRPr="00A97415">
        <w:rPr>
          <w:rFonts w:ascii="仿宋" w:eastAsia="仿宋" w:hAnsi="仿宋" w:hint="eastAsia"/>
          <w:sz w:val="32"/>
          <w:szCs w:val="32"/>
        </w:rPr>
        <w:t>其中</w:t>
      </w:r>
      <w:r w:rsidR="00371FA2" w:rsidRPr="00A97415">
        <w:rPr>
          <w:rFonts w:ascii="仿宋" w:eastAsia="仿宋" w:hAnsi="仿宋" w:hint="eastAsia"/>
          <w:sz w:val="32"/>
          <w:szCs w:val="32"/>
        </w:rPr>
        <w:t>，</w:t>
      </w:r>
      <w:r w:rsidRPr="00A97415">
        <w:rPr>
          <w:rFonts w:ascii="仿宋" w:eastAsia="仿宋" w:hAnsi="仿宋" w:hint="eastAsia"/>
          <w:sz w:val="32"/>
          <w:szCs w:val="32"/>
        </w:rPr>
        <w:t>年转旧存</w:t>
      </w:r>
      <w:r w:rsidR="00031E27" w:rsidRPr="00A97415">
        <w:rPr>
          <w:rFonts w:ascii="仿宋" w:eastAsia="仿宋" w:hAnsi="仿宋" w:hint="eastAsia"/>
          <w:sz w:val="32"/>
          <w:szCs w:val="32"/>
        </w:rPr>
        <w:t>3</w:t>
      </w:r>
      <w:r w:rsidRPr="00A97415">
        <w:rPr>
          <w:rFonts w:ascii="仿宋" w:eastAsia="仿宋" w:hAnsi="仿宋" w:hint="eastAsia"/>
          <w:sz w:val="32"/>
          <w:szCs w:val="32"/>
        </w:rPr>
        <w:t>件，新收</w:t>
      </w:r>
      <w:r w:rsidR="00031E27" w:rsidRPr="00A97415">
        <w:rPr>
          <w:rFonts w:ascii="仿宋" w:eastAsia="仿宋" w:hAnsi="仿宋" w:hint="eastAsia"/>
          <w:sz w:val="32"/>
          <w:szCs w:val="32"/>
        </w:rPr>
        <w:t>26</w:t>
      </w:r>
      <w:r w:rsidR="00371FA2" w:rsidRPr="00A97415">
        <w:rPr>
          <w:rFonts w:ascii="仿宋" w:eastAsia="仿宋" w:hAnsi="仿宋" w:hint="eastAsia"/>
          <w:sz w:val="32"/>
          <w:szCs w:val="32"/>
        </w:rPr>
        <w:t>件；</w:t>
      </w:r>
      <w:r w:rsidRPr="00A97415">
        <w:rPr>
          <w:rFonts w:ascii="仿宋" w:eastAsia="仿宋" w:hAnsi="仿宋" w:hint="eastAsia"/>
          <w:sz w:val="32"/>
          <w:szCs w:val="32"/>
        </w:rPr>
        <w:t>结案24件，结案率</w:t>
      </w:r>
      <w:r w:rsidR="00031E27" w:rsidRPr="00A97415">
        <w:rPr>
          <w:rFonts w:ascii="仿宋" w:eastAsia="仿宋" w:hAnsi="仿宋" w:hint="eastAsia"/>
          <w:sz w:val="32"/>
          <w:szCs w:val="32"/>
        </w:rPr>
        <w:t>82.76</w:t>
      </w:r>
      <w:r w:rsidRPr="00A97415">
        <w:rPr>
          <w:rFonts w:ascii="仿宋" w:eastAsia="仿宋" w:hAnsi="仿宋" w:hint="eastAsia"/>
          <w:sz w:val="32"/>
          <w:szCs w:val="32"/>
        </w:rPr>
        <w:t>%，</w:t>
      </w:r>
      <w:r w:rsidR="00031E27" w:rsidRPr="00A97415">
        <w:rPr>
          <w:rFonts w:ascii="仿宋" w:eastAsia="仿宋" w:hAnsi="仿宋" w:hint="eastAsia"/>
          <w:sz w:val="32"/>
          <w:szCs w:val="32"/>
        </w:rPr>
        <w:t>结收比92.31%</w:t>
      </w:r>
      <w:r w:rsidR="00C57D8F" w:rsidRPr="00A97415">
        <w:rPr>
          <w:rFonts w:ascii="仿宋" w:eastAsia="仿宋" w:hAnsi="仿宋" w:hint="eastAsia"/>
          <w:sz w:val="32"/>
          <w:szCs w:val="32"/>
        </w:rPr>
        <w:t>；</w:t>
      </w:r>
      <w:r w:rsidRPr="00A97415">
        <w:rPr>
          <w:rFonts w:ascii="仿宋" w:eastAsia="仿宋" w:hAnsi="仿宋" w:hint="eastAsia"/>
          <w:sz w:val="32"/>
          <w:szCs w:val="32"/>
        </w:rPr>
        <w:t>未结案件</w:t>
      </w:r>
      <w:r w:rsidR="00031E27" w:rsidRPr="00A97415">
        <w:rPr>
          <w:rFonts w:ascii="仿宋" w:eastAsia="仿宋" w:hAnsi="仿宋" w:hint="eastAsia"/>
          <w:sz w:val="32"/>
          <w:szCs w:val="32"/>
        </w:rPr>
        <w:t>5</w:t>
      </w:r>
      <w:r w:rsidRPr="00A97415">
        <w:rPr>
          <w:rFonts w:ascii="仿宋" w:eastAsia="仿宋" w:hAnsi="仿宋" w:hint="eastAsia"/>
          <w:sz w:val="32"/>
          <w:szCs w:val="32"/>
        </w:rPr>
        <w:t>件。</w:t>
      </w:r>
    </w:p>
    <w:p w:rsidR="006443A1" w:rsidRPr="00A97415" w:rsidRDefault="006443A1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color w:val="FF0000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与去年同期相比，诉讼类案件旧存减少</w:t>
      </w:r>
      <w:r w:rsidR="00994A2F" w:rsidRPr="00A97415">
        <w:rPr>
          <w:rFonts w:ascii="仿宋" w:eastAsia="仿宋" w:hAnsi="仿宋" w:hint="eastAsia"/>
          <w:sz w:val="32"/>
          <w:szCs w:val="32"/>
        </w:rPr>
        <w:t>3</w:t>
      </w:r>
      <w:r w:rsidRPr="00A97415">
        <w:rPr>
          <w:rFonts w:ascii="仿宋" w:eastAsia="仿宋" w:hAnsi="仿宋" w:hint="eastAsia"/>
          <w:sz w:val="32"/>
          <w:szCs w:val="32"/>
        </w:rPr>
        <w:t>件，下降</w:t>
      </w:r>
      <w:r w:rsidR="00667FA3" w:rsidRPr="00A97415">
        <w:rPr>
          <w:rFonts w:ascii="仿宋" w:eastAsia="仿宋" w:hAnsi="仿宋"/>
          <w:sz w:val="32"/>
          <w:szCs w:val="32"/>
        </w:rPr>
        <w:t>50.00</w:t>
      </w:r>
      <w:r w:rsidRPr="00A97415">
        <w:rPr>
          <w:rFonts w:ascii="仿宋" w:eastAsia="仿宋" w:hAnsi="仿宋" w:hint="eastAsia"/>
          <w:sz w:val="32"/>
          <w:szCs w:val="32"/>
        </w:rPr>
        <w:t>%</w:t>
      </w:r>
      <w:r w:rsidR="00100F9D" w:rsidRPr="00A97415">
        <w:rPr>
          <w:rFonts w:ascii="仿宋" w:eastAsia="仿宋" w:hAnsi="仿宋" w:hint="eastAsia"/>
          <w:sz w:val="32"/>
          <w:szCs w:val="32"/>
        </w:rPr>
        <w:t>；</w:t>
      </w:r>
      <w:r w:rsidRPr="00A97415">
        <w:rPr>
          <w:rFonts w:ascii="仿宋" w:eastAsia="仿宋" w:hAnsi="仿宋" w:hint="eastAsia"/>
          <w:sz w:val="32"/>
          <w:szCs w:val="32"/>
        </w:rPr>
        <w:t>新收</w:t>
      </w:r>
      <w:r w:rsidR="005B7C68" w:rsidRPr="00A97415">
        <w:rPr>
          <w:rFonts w:ascii="仿宋" w:eastAsia="仿宋" w:hAnsi="仿宋" w:hint="eastAsia"/>
          <w:sz w:val="32"/>
          <w:szCs w:val="32"/>
        </w:rPr>
        <w:t>减少29</w:t>
      </w:r>
      <w:r w:rsidRPr="00A97415">
        <w:rPr>
          <w:rFonts w:ascii="仿宋" w:eastAsia="仿宋" w:hAnsi="仿宋" w:hint="eastAsia"/>
          <w:sz w:val="32"/>
          <w:szCs w:val="32"/>
        </w:rPr>
        <w:t>件，</w:t>
      </w:r>
      <w:r w:rsidR="009A4300" w:rsidRPr="00A97415">
        <w:rPr>
          <w:rFonts w:ascii="仿宋" w:eastAsia="仿宋" w:hAnsi="仿宋" w:hint="eastAsia"/>
          <w:sz w:val="32"/>
          <w:szCs w:val="32"/>
        </w:rPr>
        <w:t>下降52.73</w:t>
      </w:r>
      <w:r w:rsidRPr="00A97415">
        <w:rPr>
          <w:rFonts w:ascii="仿宋" w:eastAsia="仿宋" w:hAnsi="仿宋" w:hint="eastAsia"/>
          <w:sz w:val="32"/>
          <w:szCs w:val="32"/>
        </w:rPr>
        <w:t>%；旧存加新收合计</w:t>
      </w:r>
      <w:r w:rsidR="005B7C68" w:rsidRPr="00A97415">
        <w:rPr>
          <w:rFonts w:ascii="仿宋" w:eastAsia="仿宋" w:hAnsi="仿宋" w:hint="eastAsia"/>
          <w:sz w:val="32"/>
          <w:szCs w:val="32"/>
        </w:rPr>
        <w:t>减少32</w:t>
      </w:r>
      <w:r w:rsidRPr="00A97415">
        <w:rPr>
          <w:rFonts w:ascii="仿宋" w:eastAsia="仿宋" w:hAnsi="仿宋" w:hint="eastAsia"/>
          <w:sz w:val="32"/>
          <w:szCs w:val="32"/>
        </w:rPr>
        <w:t>件，</w:t>
      </w:r>
      <w:r w:rsidR="005B7C68" w:rsidRPr="00A97415">
        <w:rPr>
          <w:rFonts w:ascii="仿宋" w:eastAsia="仿宋" w:hAnsi="仿宋" w:hint="eastAsia"/>
          <w:sz w:val="32"/>
          <w:szCs w:val="32"/>
        </w:rPr>
        <w:t>下降</w:t>
      </w:r>
      <w:r w:rsidR="008D71D6" w:rsidRPr="00A97415">
        <w:rPr>
          <w:rFonts w:ascii="仿宋" w:eastAsia="仿宋" w:hAnsi="仿宋" w:hint="eastAsia"/>
          <w:sz w:val="32"/>
          <w:szCs w:val="32"/>
        </w:rPr>
        <w:t>52.46</w:t>
      </w:r>
      <w:r w:rsidRPr="00A97415">
        <w:rPr>
          <w:rFonts w:ascii="仿宋" w:eastAsia="仿宋" w:hAnsi="仿宋" w:hint="eastAsia"/>
          <w:sz w:val="32"/>
          <w:szCs w:val="32"/>
        </w:rPr>
        <w:t>%；结案</w:t>
      </w:r>
      <w:r w:rsidR="005B7C68" w:rsidRPr="00A97415">
        <w:rPr>
          <w:rFonts w:ascii="仿宋" w:eastAsia="仿宋" w:hAnsi="仿宋" w:hint="eastAsia"/>
          <w:sz w:val="32"/>
          <w:szCs w:val="32"/>
        </w:rPr>
        <w:t>减少6件，下降</w:t>
      </w:r>
      <w:r w:rsidR="00B8279A" w:rsidRPr="00A97415">
        <w:rPr>
          <w:rFonts w:ascii="仿宋" w:eastAsia="仿宋" w:hAnsi="仿宋" w:hint="eastAsia"/>
          <w:sz w:val="32"/>
          <w:szCs w:val="32"/>
        </w:rPr>
        <w:t>20.00</w:t>
      </w:r>
      <w:r w:rsidRPr="00A97415">
        <w:rPr>
          <w:rFonts w:ascii="仿宋" w:eastAsia="仿宋" w:hAnsi="仿宋" w:hint="eastAsia"/>
          <w:sz w:val="32"/>
          <w:szCs w:val="32"/>
        </w:rPr>
        <w:t>%；结案率</w:t>
      </w:r>
      <w:r w:rsidR="005B7C68" w:rsidRPr="00A97415">
        <w:rPr>
          <w:rFonts w:ascii="仿宋" w:eastAsia="仿宋" w:hAnsi="仿宋" w:hint="eastAsia"/>
          <w:sz w:val="32"/>
          <w:szCs w:val="32"/>
        </w:rPr>
        <w:t>上升33.58</w:t>
      </w:r>
      <w:r w:rsidRPr="00A97415">
        <w:rPr>
          <w:rFonts w:ascii="仿宋" w:eastAsia="仿宋" w:hAnsi="仿宋" w:hint="eastAsia"/>
          <w:sz w:val="32"/>
          <w:szCs w:val="32"/>
        </w:rPr>
        <w:t>个百分点；未结案件</w:t>
      </w:r>
      <w:r w:rsidR="001F0E65" w:rsidRPr="00A97415">
        <w:rPr>
          <w:rFonts w:ascii="仿宋" w:eastAsia="仿宋" w:hAnsi="仿宋" w:hint="eastAsia"/>
          <w:sz w:val="32"/>
          <w:szCs w:val="32"/>
        </w:rPr>
        <w:t>减少26</w:t>
      </w:r>
      <w:r w:rsidRPr="00A97415">
        <w:rPr>
          <w:rFonts w:ascii="仿宋" w:eastAsia="仿宋" w:hAnsi="仿宋" w:hint="eastAsia"/>
          <w:sz w:val="32"/>
          <w:szCs w:val="32"/>
        </w:rPr>
        <w:t>件，</w:t>
      </w:r>
      <w:r w:rsidR="001F0E65" w:rsidRPr="00A97415">
        <w:rPr>
          <w:rFonts w:ascii="仿宋" w:eastAsia="仿宋" w:hAnsi="仿宋" w:hint="eastAsia"/>
          <w:sz w:val="32"/>
          <w:szCs w:val="32"/>
        </w:rPr>
        <w:t>下降</w:t>
      </w:r>
      <w:r w:rsidR="007D61D6" w:rsidRPr="00A97415">
        <w:rPr>
          <w:rFonts w:ascii="仿宋" w:eastAsia="仿宋" w:hAnsi="仿宋" w:hint="eastAsia"/>
          <w:sz w:val="32"/>
          <w:szCs w:val="32"/>
        </w:rPr>
        <w:t>83.87</w:t>
      </w:r>
      <w:r w:rsidRPr="00A97415">
        <w:rPr>
          <w:rFonts w:ascii="仿宋" w:eastAsia="仿宋" w:hAnsi="仿宋" w:hint="eastAsia"/>
          <w:sz w:val="32"/>
          <w:szCs w:val="32"/>
        </w:rPr>
        <w:t>%。</w:t>
      </w:r>
    </w:p>
    <w:p w:rsidR="006443A1" w:rsidRPr="00A97415" w:rsidRDefault="006443A1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受理</w:t>
      </w:r>
      <w:r w:rsidR="00A305D5" w:rsidRPr="00A97415">
        <w:rPr>
          <w:rFonts w:ascii="仿宋" w:eastAsia="仿宋" w:hAnsi="仿宋" w:hint="eastAsia"/>
          <w:sz w:val="32"/>
          <w:szCs w:val="32"/>
        </w:rPr>
        <w:t>的</w:t>
      </w:r>
      <w:r w:rsidRPr="00A97415">
        <w:rPr>
          <w:rFonts w:ascii="仿宋" w:eastAsia="仿宋" w:hAnsi="仿宋" w:hint="eastAsia"/>
          <w:sz w:val="32"/>
          <w:szCs w:val="32"/>
        </w:rPr>
        <w:t>诉讼案件</w:t>
      </w:r>
      <w:r w:rsidR="00DC722B" w:rsidRPr="00A97415">
        <w:rPr>
          <w:rFonts w:ascii="仿宋" w:eastAsia="仿宋" w:hAnsi="仿宋" w:hint="eastAsia"/>
          <w:sz w:val="32"/>
          <w:szCs w:val="32"/>
        </w:rPr>
        <w:t>29</w:t>
      </w:r>
      <w:r w:rsidR="00A305D5" w:rsidRPr="00A97415">
        <w:rPr>
          <w:rFonts w:ascii="仿宋" w:eastAsia="仿宋" w:hAnsi="仿宋" w:hint="eastAsia"/>
          <w:sz w:val="32"/>
          <w:szCs w:val="32"/>
        </w:rPr>
        <w:t>件</w:t>
      </w:r>
      <w:r w:rsidRPr="00A97415">
        <w:rPr>
          <w:rFonts w:ascii="仿宋" w:eastAsia="仿宋" w:hAnsi="仿宋" w:hint="eastAsia"/>
          <w:sz w:val="32"/>
          <w:szCs w:val="32"/>
        </w:rPr>
        <w:t>中，刑事</w:t>
      </w:r>
      <w:r w:rsidR="00641401" w:rsidRPr="00A97415">
        <w:rPr>
          <w:rFonts w:ascii="仿宋" w:eastAsia="仿宋" w:hAnsi="仿宋" w:hint="eastAsia"/>
          <w:sz w:val="32"/>
          <w:szCs w:val="32"/>
        </w:rPr>
        <w:t>13</w:t>
      </w:r>
      <w:r w:rsidRPr="00A97415">
        <w:rPr>
          <w:rFonts w:ascii="仿宋" w:eastAsia="仿宋" w:hAnsi="仿宋" w:hint="eastAsia"/>
          <w:sz w:val="32"/>
          <w:szCs w:val="32"/>
        </w:rPr>
        <w:t>件，占比</w:t>
      </w:r>
      <w:r w:rsidR="00641401" w:rsidRPr="00A97415">
        <w:rPr>
          <w:rFonts w:ascii="仿宋" w:eastAsia="仿宋" w:hAnsi="仿宋" w:hint="eastAsia"/>
          <w:sz w:val="32"/>
          <w:szCs w:val="32"/>
        </w:rPr>
        <w:t>4</w:t>
      </w:r>
      <w:r w:rsidR="00163DB5" w:rsidRPr="00A97415">
        <w:rPr>
          <w:rFonts w:ascii="仿宋" w:eastAsia="仿宋" w:hAnsi="仿宋" w:hint="eastAsia"/>
          <w:sz w:val="32"/>
          <w:szCs w:val="32"/>
        </w:rPr>
        <w:t>4.83</w:t>
      </w:r>
      <w:r w:rsidRPr="00A97415">
        <w:rPr>
          <w:rFonts w:ascii="仿宋" w:eastAsia="仿宋" w:hAnsi="仿宋" w:hint="eastAsia"/>
          <w:sz w:val="32"/>
          <w:szCs w:val="32"/>
        </w:rPr>
        <w:t>%，同比</w:t>
      </w:r>
      <w:r w:rsidR="00641401" w:rsidRPr="00A97415">
        <w:rPr>
          <w:rFonts w:ascii="仿宋" w:eastAsia="仿宋" w:hAnsi="仿宋" w:hint="eastAsia"/>
          <w:sz w:val="32"/>
          <w:szCs w:val="32"/>
        </w:rPr>
        <w:t>(</w:t>
      </w:r>
      <w:r w:rsidR="00163DB5" w:rsidRPr="00A97415">
        <w:rPr>
          <w:rFonts w:ascii="仿宋" w:eastAsia="仿宋" w:hAnsi="仿宋" w:hint="eastAsia"/>
          <w:sz w:val="32"/>
          <w:szCs w:val="32"/>
        </w:rPr>
        <w:t>6.56</w:t>
      </w:r>
      <w:r w:rsidR="00641401" w:rsidRPr="00A97415">
        <w:rPr>
          <w:rFonts w:ascii="仿宋" w:eastAsia="仿宋" w:hAnsi="仿宋" w:hint="eastAsia"/>
          <w:sz w:val="32"/>
          <w:szCs w:val="32"/>
        </w:rPr>
        <w:t>%)上升</w:t>
      </w:r>
      <w:r w:rsidR="00163DB5" w:rsidRPr="00A97415">
        <w:rPr>
          <w:rFonts w:ascii="仿宋" w:eastAsia="仿宋" w:hAnsi="仿宋" w:hint="eastAsia"/>
          <w:sz w:val="32"/>
          <w:szCs w:val="32"/>
        </w:rPr>
        <w:t>38.27</w:t>
      </w:r>
      <w:r w:rsidR="00641401" w:rsidRPr="00A97415">
        <w:rPr>
          <w:rFonts w:ascii="仿宋" w:eastAsia="仿宋" w:hAnsi="仿宋" w:hint="eastAsia"/>
          <w:sz w:val="32"/>
          <w:szCs w:val="32"/>
        </w:rPr>
        <w:t>百分点</w:t>
      </w:r>
      <w:r w:rsidRPr="00A97415">
        <w:rPr>
          <w:rFonts w:ascii="仿宋" w:eastAsia="仿宋" w:hAnsi="仿宋" w:hint="eastAsia"/>
          <w:sz w:val="32"/>
          <w:szCs w:val="32"/>
        </w:rPr>
        <w:t>；民事</w:t>
      </w:r>
      <w:r w:rsidR="005501F3" w:rsidRPr="00A97415">
        <w:rPr>
          <w:rFonts w:ascii="仿宋" w:eastAsia="仿宋" w:hAnsi="仿宋" w:hint="eastAsia"/>
          <w:sz w:val="32"/>
          <w:szCs w:val="32"/>
        </w:rPr>
        <w:t>16</w:t>
      </w:r>
      <w:r w:rsidRPr="00A97415">
        <w:rPr>
          <w:rFonts w:ascii="仿宋" w:eastAsia="仿宋" w:hAnsi="仿宋" w:hint="eastAsia"/>
          <w:sz w:val="32"/>
          <w:szCs w:val="32"/>
        </w:rPr>
        <w:t>件，占比</w:t>
      </w:r>
      <w:r w:rsidR="00163DB5" w:rsidRPr="00A97415">
        <w:rPr>
          <w:rFonts w:ascii="仿宋" w:eastAsia="仿宋" w:hAnsi="仿宋" w:hint="eastAsia"/>
          <w:sz w:val="32"/>
          <w:szCs w:val="32"/>
        </w:rPr>
        <w:t>55.17</w:t>
      </w:r>
      <w:r w:rsidRPr="00A97415">
        <w:rPr>
          <w:rFonts w:ascii="仿宋" w:eastAsia="仿宋" w:hAnsi="仿宋" w:hint="eastAsia"/>
          <w:sz w:val="32"/>
          <w:szCs w:val="32"/>
        </w:rPr>
        <w:t>%，同比</w:t>
      </w:r>
      <w:r w:rsidR="00163DB5" w:rsidRPr="00A97415">
        <w:rPr>
          <w:rFonts w:ascii="仿宋" w:eastAsia="仿宋" w:hAnsi="仿宋" w:hint="eastAsia"/>
          <w:sz w:val="32"/>
          <w:szCs w:val="32"/>
        </w:rPr>
        <w:t>(</w:t>
      </w:r>
      <w:r w:rsidR="00875A97" w:rsidRPr="00A97415">
        <w:rPr>
          <w:rFonts w:ascii="仿宋" w:eastAsia="仿宋" w:hAnsi="仿宋" w:hint="eastAsia"/>
          <w:sz w:val="32"/>
          <w:szCs w:val="32"/>
        </w:rPr>
        <w:t>93.44%</w:t>
      </w:r>
      <w:r w:rsidR="00163DB5" w:rsidRPr="00A97415">
        <w:rPr>
          <w:rFonts w:ascii="仿宋" w:eastAsia="仿宋" w:hAnsi="仿宋" w:hint="eastAsia"/>
          <w:sz w:val="32"/>
          <w:szCs w:val="32"/>
        </w:rPr>
        <w:t>)</w:t>
      </w:r>
      <w:r w:rsidR="00875A97" w:rsidRPr="00A97415">
        <w:rPr>
          <w:rFonts w:ascii="仿宋" w:eastAsia="仿宋" w:hAnsi="仿宋" w:hint="eastAsia"/>
          <w:sz w:val="32"/>
          <w:szCs w:val="32"/>
        </w:rPr>
        <w:t>下降38.27百分点</w:t>
      </w:r>
      <w:r w:rsidRPr="00A97415">
        <w:rPr>
          <w:rFonts w:ascii="仿宋" w:eastAsia="仿宋" w:hAnsi="仿宋" w:hint="eastAsia"/>
          <w:sz w:val="32"/>
          <w:szCs w:val="32"/>
        </w:rPr>
        <w:t>；行政</w:t>
      </w:r>
      <w:r w:rsidR="005501F3" w:rsidRPr="00A97415">
        <w:rPr>
          <w:rFonts w:ascii="仿宋" w:eastAsia="仿宋" w:hAnsi="仿宋" w:hint="eastAsia"/>
          <w:sz w:val="32"/>
          <w:szCs w:val="32"/>
        </w:rPr>
        <w:t>0</w:t>
      </w:r>
      <w:r w:rsidRPr="00A97415">
        <w:rPr>
          <w:rFonts w:ascii="仿宋" w:eastAsia="仿宋" w:hAnsi="仿宋" w:hint="eastAsia"/>
          <w:sz w:val="32"/>
          <w:szCs w:val="32"/>
        </w:rPr>
        <w:t>件，</w:t>
      </w:r>
      <w:r w:rsidR="00875A97" w:rsidRPr="00A97415">
        <w:rPr>
          <w:rFonts w:ascii="仿宋" w:eastAsia="仿宋" w:hAnsi="仿宋" w:hint="eastAsia"/>
          <w:sz w:val="32"/>
          <w:szCs w:val="32"/>
        </w:rPr>
        <w:t>与</w:t>
      </w:r>
      <w:r w:rsidRPr="00A97415">
        <w:rPr>
          <w:rFonts w:ascii="仿宋" w:eastAsia="仿宋" w:hAnsi="仿宋" w:hint="eastAsia"/>
          <w:sz w:val="32"/>
          <w:szCs w:val="32"/>
        </w:rPr>
        <w:t>同比</w:t>
      </w:r>
      <w:r w:rsidR="00875A97" w:rsidRPr="00A97415">
        <w:rPr>
          <w:rFonts w:ascii="仿宋" w:eastAsia="仿宋" w:hAnsi="仿宋" w:hint="eastAsia"/>
          <w:sz w:val="32"/>
          <w:szCs w:val="32"/>
        </w:rPr>
        <w:t>持平</w:t>
      </w:r>
      <w:r w:rsidR="009D1431" w:rsidRPr="00A97415">
        <w:rPr>
          <w:rFonts w:ascii="仿宋" w:eastAsia="仿宋" w:hAnsi="仿宋" w:hint="eastAsia"/>
          <w:sz w:val="32"/>
          <w:szCs w:val="32"/>
        </w:rPr>
        <w:t>。</w:t>
      </w:r>
      <w:r w:rsidR="00E33C07" w:rsidRPr="00A97415">
        <w:rPr>
          <w:rFonts w:ascii="仿宋" w:eastAsia="仿宋" w:hAnsi="仿宋" w:hint="eastAsia"/>
          <w:sz w:val="32"/>
          <w:szCs w:val="32"/>
        </w:rPr>
        <w:t>（以上案件分类依据数字法院业务应用系统收结存统计</w:t>
      </w:r>
      <w:r w:rsidRPr="00A97415">
        <w:rPr>
          <w:rFonts w:ascii="仿宋" w:eastAsia="仿宋" w:hAnsi="仿宋" w:hint="eastAsia"/>
          <w:sz w:val="32"/>
          <w:szCs w:val="32"/>
        </w:rPr>
        <w:t>中案件类型划分</w:t>
      </w:r>
      <w:r w:rsidR="00414F17" w:rsidRPr="00A97415">
        <w:rPr>
          <w:rFonts w:ascii="仿宋" w:eastAsia="仿宋" w:hAnsi="仿宋" w:hint="eastAsia"/>
          <w:sz w:val="32"/>
          <w:szCs w:val="32"/>
        </w:rPr>
        <w:t>，具体情况参照图表二</w:t>
      </w:r>
      <w:r w:rsidRPr="00A97415">
        <w:rPr>
          <w:rFonts w:ascii="仿宋" w:eastAsia="仿宋" w:hAnsi="仿宋" w:hint="eastAsia"/>
          <w:sz w:val="32"/>
          <w:szCs w:val="32"/>
        </w:rPr>
        <w:t>）。</w:t>
      </w:r>
    </w:p>
    <w:p w:rsidR="003D6482" w:rsidRDefault="003D6482" w:rsidP="00161267">
      <w:pPr>
        <w:spacing w:after="0" w:line="220" w:lineRule="atLeas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3863DF" w:rsidRPr="003C4BA4" w:rsidRDefault="004F2143" w:rsidP="00161267">
      <w:pPr>
        <w:spacing w:after="0" w:line="220" w:lineRule="atLeast"/>
        <w:jc w:val="both"/>
        <w:rPr>
          <w:rFonts w:asciiTheme="minorEastAsia" w:eastAsiaTheme="minorEastAsia" w:hAnsiTheme="minorEastAsia"/>
          <w:sz w:val="32"/>
          <w:szCs w:val="32"/>
        </w:rPr>
      </w:pPr>
      <w:r w:rsidRPr="004F2143">
        <w:rPr>
          <w:rFonts w:asciiTheme="minorEastAsia" w:eastAsiaTheme="minorEastAsia" w:hAnsiTheme="minorEastAsia"/>
          <w:noProof/>
          <w:sz w:val="32"/>
          <w:szCs w:val="32"/>
        </w:rPr>
        <w:drawing>
          <wp:inline distT="0" distB="0" distL="0" distR="0">
            <wp:extent cx="5274310" cy="3076575"/>
            <wp:effectExtent l="19050" t="0" r="21590" b="0"/>
            <wp:docPr id="9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6482" w:rsidRDefault="003D6482" w:rsidP="00161267">
      <w:pPr>
        <w:spacing w:after="0" w:line="220" w:lineRule="atLeas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5E1013" w:rsidRDefault="005E1013" w:rsidP="00161267">
      <w:pPr>
        <w:spacing w:after="0" w:line="220" w:lineRule="atLeas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6443A1" w:rsidRPr="00A97415" w:rsidRDefault="006443A1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A97415">
        <w:rPr>
          <w:rFonts w:ascii="黑体" w:eastAsia="黑体" w:hAnsi="黑体" w:hint="eastAsia"/>
          <w:sz w:val="32"/>
          <w:szCs w:val="32"/>
        </w:rPr>
        <w:t>（二）</w:t>
      </w:r>
      <w:r w:rsidR="009B3704" w:rsidRPr="00A97415">
        <w:rPr>
          <w:rFonts w:ascii="黑体" w:eastAsia="黑体" w:hAnsi="黑体" w:hint="eastAsia"/>
          <w:sz w:val="32"/>
          <w:szCs w:val="32"/>
        </w:rPr>
        <w:t>2019</w:t>
      </w:r>
      <w:r w:rsidRPr="00A97415">
        <w:rPr>
          <w:rFonts w:ascii="黑体" w:eastAsia="黑体" w:hAnsi="黑体" w:hint="eastAsia"/>
          <w:sz w:val="32"/>
          <w:szCs w:val="32"/>
        </w:rPr>
        <w:t>年</w:t>
      </w:r>
      <w:r w:rsidR="009B3704" w:rsidRPr="00A97415">
        <w:rPr>
          <w:rFonts w:ascii="黑体" w:eastAsia="黑体" w:hAnsi="黑体" w:hint="eastAsia"/>
          <w:sz w:val="32"/>
          <w:szCs w:val="32"/>
        </w:rPr>
        <w:t>1-3</w:t>
      </w:r>
      <w:r w:rsidRPr="00A97415">
        <w:rPr>
          <w:rFonts w:ascii="黑体" w:eastAsia="黑体" w:hAnsi="黑体" w:hint="eastAsia"/>
          <w:sz w:val="32"/>
          <w:szCs w:val="32"/>
        </w:rPr>
        <w:t>月执行案件总体情况</w:t>
      </w:r>
    </w:p>
    <w:p w:rsidR="006443A1" w:rsidRPr="00A97415" w:rsidRDefault="006443A1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共受理执行案件</w:t>
      </w:r>
      <w:r w:rsidR="009B3704" w:rsidRPr="00A97415">
        <w:rPr>
          <w:rFonts w:ascii="仿宋" w:eastAsia="仿宋" w:hAnsi="仿宋" w:hint="eastAsia"/>
          <w:sz w:val="32"/>
          <w:szCs w:val="32"/>
        </w:rPr>
        <w:t>38</w:t>
      </w:r>
      <w:r w:rsidR="00D27ECA" w:rsidRPr="00A97415">
        <w:rPr>
          <w:rFonts w:ascii="仿宋" w:eastAsia="仿宋" w:hAnsi="仿宋" w:hint="eastAsia"/>
          <w:sz w:val="32"/>
          <w:szCs w:val="32"/>
        </w:rPr>
        <w:t>件。</w:t>
      </w:r>
      <w:r w:rsidRPr="00A97415">
        <w:rPr>
          <w:rFonts w:ascii="仿宋" w:eastAsia="仿宋" w:hAnsi="仿宋" w:hint="eastAsia"/>
          <w:sz w:val="32"/>
          <w:szCs w:val="32"/>
        </w:rPr>
        <w:t>其中</w:t>
      </w:r>
      <w:r w:rsidR="00D27ECA" w:rsidRPr="00A97415">
        <w:rPr>
          <w:rFonts w:ascii="仿宋" w:eastAsia="仿宋" w:hAnsi="仿宋" w:hint="eastAsia"/>
          <w:sz w:val="32"/>
          <w:szCs w:val="32"/>
        </w:rPr>
        <w:t>，</w:t>
      </w:r>
      <w:r w:rsidRPr="00A97415">
        <w:rPr>
          <w:rFonts w:ascii="仿宋" w:eastAsia="仿宋" w:hAnsi="仿宋" w:hint="eastAsia"/>
          <w:sz w:val="32"/>
          <w:szCs w:val="32"/>
        </w:rPr>
        <w:t>年转旧存</w:t>
      </w:r>
      <w:r w:rsidR="009B3704" w:rsidRPr="00A97415">
        <w:rPr>
          <w:rFonts w:ascii="仿宋" w:eastAsia="仿宋" w:hAnsi="仿宋" w:hint="eastAsia"/>
          <w:sz w:val="32"/>
          <w:szCs w:val="32"/>
        </w:rPr>
        <w:t>4</w:t>
      </w:r>
      <w:r w:rsidRPr="00A97415">
        <w:rPr>
          <w:rFonts w:ascii="仿宋" w:eastAsia="仿宋" w:hAnsi="仿宋" w:hint="eastAsia"/>
          <w:sz w:val="32"/>
          <w:szCs w:val="32"/>
        </w:rPr>
        <w:t>件，新收</w:t>
      </w:r>
      <w:r w:rsidR="009B3704" w:rsidRPr="00A97415">
        <w:rPr>
          <w:rFonts w:ascii="仿宋" w:eastAsia="仿宋" w:hAnsi="仿宋" w:hint="eastAsia"/>
          <w:sz w:val="32"/>
          <w:szCs w:val="32"/>
        </w:rPr>
        <w:t>34</w:t>
      </w:r>
      <w:r w:rsidR="00D27ECA" w:rsidRPr="00A97415">
        <w:rPr>
          <w:rFonts w:ascii="仿宋" w:eastAsia="仿宋" w:hAnsi="仿宋" w:hint="eastAsia"/>
          <w:sz w:val="32"/>
          <w:szCs w:val="32"/>
        </w:rPr>
        <w:t>件；</w:t>
      </w:r>
      <w:r w:rsidR="003E288C" w:rsidRPr="00A97415">
        <w:rPr>
          <w:rFonts w:ascii="仿宋" w:eastAsia="仿宋" w:hAnsi="仿宋" w:hint="eastAsia"/>
          <w:sz w:val="32"/>
          <w:szCs w:val="32"/>
        </w:rPr>
        <w:t>执结</w:t>
      </w:r>
      <w:r w:rsidR="009B3704" w:rsidRPr="00A97415">
        <w:rPr>
          <w:rFonts w:ascii="仿宋" w:eastAsia="仿宋" w:hAnsi="仿宋" w:hint="eastAsia"/>
          <w:sz w:val="32"/>
          <w:szCs w:val="32"/>
        </w:rPr>
        <w:t>24</w:t>
      </w:r>
      <w:r w:rsidRPr="00A97415">
        <w:rPr>
          <w:rFonts w:ascii="仿宋" w:eastAsia="仿宋" w:hAnsi="仿宋" w:hint="eastAsia"/>
          <w:sz w:val="32"/>
          <w:szCs w:val="32"/>
        </w:rPr>
        <w:t>件，结案率</w:t>
      </w:r>
      <w:r w:rsidR="009B3704" w:rsidRPr="00A97415">
        <w:rPr>
          <w:rFonts w:ascii="仿宋" w:eastAsia="仿宋" w:hAnsi="仿宋" w:hint="eastAsia"/>
          <w:sz w:val="32"/>
          <w:szCs w:val="32"/>
        </w:rPr>
        <w:t>63.16</w:t>
      </w:r>
      <w:r w:rsidRPr="00A97415">
        <w:rPr>
          <w:rFonts w:ascii="仿宋" w:eastAsia="仿宋" w:hAnsi="仿宋" w:hint="eastAsia"/>
          <w:sz w:val="32"/>
          <w:szCs w:val="32"/>
        </w:rPr>
        <w:t>%</w:t>
      </w:r>
      <w:r w:rsidR="000E10FE" w:rsidRPr="00A97415">
        <w:rPr>
          <w:rFonts w:ascii="仿宋" w:eastAsia="仿宋" w:hAnsi="仿宋" w:hint="eastAsia"/>
          <w:sz w:val="32"/>
          <w:szCs w:val="32"/>
        </w:rPr>
        <w:t>；</w:t>
      </w:r>
      <w:r w:rsidRPr="00A97415">
        <w:rPr>
          <w:rFonts w:ascii="仿宋" w:eastAsia="仿宋" w:hAnsi="仿宋" w:hint="eastAsia"/>
          <w:sz w:val="32"/>
          <w:szCs w:val="32"/>
        </w:rPr>
        <w:t>未</w:t>
      </w:r>
      <w:r w:rsidR="003E288C" w:rsidRPr="00A97415">
        <w:rPr>
          <w:rFonts w:ascii="仿宋" w:eastAsia="仿宋" w:hAnsi="仿宋" w:hint="eastAsia"/>
          <w:sz w:val="32"/>
          <w:szCs w:val="32"/>
        </w:rPr>
        <w:t>执</w:t>
      </w:r>
      <w:r w:rsidRPr="00A97415">
        <w:rPr>
          <w:rFonts w:ascii="仿宋" w:eastAsia="仿宋" w:hAnsi="仿宋" w:hint="eastAsia"/>
          <w:sz w:val="32"/>
          <w:szCs w:val="32"/>
        </w:rPr>
        <w:t>结案件</w:t>
      </w:r>
      <w:r w:rsidR="009B3704" w:rsidRPr="00A97415">
        <w:rPr>
          <w:rFonts w:ascii="仿宋" w:eastAsia="仿宋" w:hAnsi="仿宋" w:hint="eastAsia"/>
          <w:sz w:val="32"/>
          <w:szCs w:val="32"/>
        </w:rPr>
        <w:t>14</w:t>
      </w:r>
      <w:r w:rsidRPr="00A97415">
        <w:rPr>
          <w:rFonts w:ascii="仿宋" w:eastAsia="仿宋" w:hAnsi="仿宋" w:hint="eastAsia"/>
          <w:sz w:val="32"/>
          <w:szCs w:val="32"/>
        </w:rPr>
        <w:t>件。</w:t>
      </w:r>
    </w:p>
    <w:p w:rsidR="006443A1" w:rsidRDefault="006443A1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与去年同期相比，执行类案件受理案件数减少</w:t>
      </w:r>
      <w:r w:rsidR="00133DB5" w:rsidRPr="00A97415">
        <w:rPr>
          <w:rFonts w:ascii="仿宋" w:eastAsia="仿宋" w:hAnsi="仿宋" w:hint="eastAsia"/>
          <w:sz w:val="32"/>
          <w:szCs w:val="32"/>
        </w:rPr>
        <w:t>15</w:t>
      </w:r>
      <w:r w:rsidRPr="00A97415">
        <w:rPr>
          <w:rFonts w:ascii="仿宋" w:eastAsia="仿宋" w:hAnsi="仿宋" w:hint="eastAsia"/>
          <w:sz w:val="32"/>
          <w:szCs w:val="32"/>
        </w:rPr>
        <w:t>件，同比下降</w:t>
      </w:r>
      <w:r w:rsidR="00543E1F" w:rsidRPr="00A97415">
        <w:rPr>
          <w:rFonts w:ascii="仿宋" w:eastAsia="仿宋" w:hAnsi="仿宋" w:hint="eastAsia"/>
          <w:sz w:val="32"/>
          <w:szCs w:val="32"/>
        </w:rPr>
        <w:t>28.30</w:t>
      </w:r>
      <w:r w:rsidRPr="00A97415">
        <w:rPr>
          <w:rFonts w:ascii="仿宋" w:eastAsia="仿宋" w:hAnsi="仿宋" w:hint="eastAsia"/>
          <w:sz w:val="32"/>
          <w:szCs w:val="32"/>
        </w:rPr>
        <w:t>%</w:t>
      </w:r>
      <w:r w:rsidR="00133DB5" w:rsidRPr="00A97415">
        <w:rPr>
          <w:rFonts w:ascii="仿宋" w:eastAsia="仿宋" w:hAnsi="仿宋" w:hint="eastAsia"/>
          <w:sz w:val="32"/>
          <w:szCs w:val="32"/>
        </w:rPr>
        <w:t>；旧存案件减少16</w:t>
      </w:r>
      <w:r w:rsidRPr="00A97415">
        <w:rPr>
          <w:rFonts w:ascii="仿宋" w:eastAsia="仿宋" w:hAnsi="仿宋" w:hint="eastAsia"/>
          <w:sz w:val="32"/>
          <w:szCs w:val="32"/>
        </w:rPr>
        <w:t>件，</w:t>
      </w:r>
      <w:r w:rsidR="00F63F73" w:rsidRPr="00A97415">
        <w:rPr>
          <w:rFonts w:ascii="仿宋" w:eastAsia="仿宋" w:hAnsi="仿宋" w:hint="eastAsia"/>
          <w:sz w:val="32"/>
          <w:szCs w:val="32"/>
        </w:rPr>
        <w:t>同比下降</w:t>
      </w:r>
      <w:r w:rsidR="00543E1F" w:rsidRPr="00A97415">
        <w:rPr>
          <w:rFonts w:ascii="仿宋" w:eastAsia="仿宋" w:hAnsi="仿宋" w:hint="eastAsia"/>
          <w:sz w:val="32"/>
          <w:szCs w:val="32"/>
        </w:rPr>
        <w:t>80.00</w:t>
      </w:r>
      <w:r w:rsidRPr="00A97415">
        <w:rPr>
          <w:rFonts w:ascii="仿宋" w:eastAsia="仿宋" w:hAnsi="仿宋" w:hint="eastAsia"/>
          <w:sz w:val="32"/>
          <w:szCs w:val="32"/>
        </w:rPr>
        <w:t>%</w:t>
      </w:r>
      <w:r w:rsidR="00133DB5" w:rsidRPr="00A97415">
        <w:rPr>
          <w:rFonts w:ascii="仿宋" w:eastAsia="仿宋" w:hAnsi="仿宋" w:hint="eastAsia"/>
          <w:sz w:val="32"/>
          <w:szCs w:val="32"/>
        </w:rPr>
        <w:t>；新收案件增加</w:t>
      </w:r>
      <w:r w:rsidRPr="00A97415">
        <w:rPr>
          <w:rFonts w:ascii="仿宋" w:eastAsia="仿宋" w:hAnsi="仿宋" w:hint="eastAsia"/>
          <w:sz w:val="32"/>
          <w:szCs w:val="32"/>
        </w:rPr>
        <w:t>1件，</w:t>
      </w:r>
      <w:r w:rsidR="00F63F73" w:rsidRPr="00A97415">
        <w:rPr>
          <w:rFonts w:ascii="仿宋" w:eastAsia="仿宋" w:hAnsi="仿宋" w:hint="eastAsia"/>
          <w:sz w:val="32"/>
          <w:szCs w:val="32"/>
        </w:rPr>
        <w:t>同比上升</w:t>
      </w:r>
      <w:r w:rsidR="00543E1F" w:rsidRPr="00A97415">
        <w:rPr>
          <w:rFonts w:ascii="仿宋" w:eastAsia="仿宋" w:hAnsi="仿宋" w:hint="eastAsia"/>
          <w:sz w:val="32"/>
          <w:szCs w:val="32"/>
        </w:rPr>
        <w:t>3.03</w:t>
      </w:r>
      <w:r w:rsidRPr="00A97415">
        <w:rPr>
          <w:rFonts w:ascii="仿宋" w:eastAsia="仿宋" w:hAnsi="仿宋" w:hint="eastAsia"/>
          <w:sz w:val="32"/>
          <w:szCs w:val="32"/>
        </w:rPr>
        <w:t>%；</w:t>
      </w:r>
      <w:r w:rsidR="00A11862" w:rsidRPr="00A97415">
        <w:rPr>
          <w:rFonts w:ascii="仿宋" w:eastAsia="仿宋" w:hAnsi="仿宋" w:hint="eastAsia"/>
          <w:sz w:val="32"/>
          <w:szCs w:val="32"/>
        </w:rPr>
        <w:t>执</w:t>
      </w:r>
      <w:r w:rsidRPr="00A97415">
        <w:rPr>
          <w:rFonts w:ascii="仿宋" w:eastAsia="仿宋" w:hAnsi="仿宋" w:hint="eastAsia"/>
          <w:sz w:val="32"/>
          <w:szCs w:val="32"/>
        </w:rPr>
        <w:t>结案</w:t>
      </w:r>
      <w:r w:rsidR="00A11862" w:rsidRPr="00A97415">
        <w:rPr>
          <w:rFonts w:ascii="仿宋" w:eastAsia="仿宋" w:hAnsi="仿宋" w:hint="eastAsia"/>
          <w:sz w:val="32"/>
          <w:szCs w:val="32"/>
        </w:rPr>
        <w:t>件</w:t>
      </w:r>
      <w:r w:rsidRPr="00A97415">
        <w:rPr>
          <w:rFonts w:ascii="仿宋" w:eastAsia="仿宋" w:hAnsi="仿宋" w:hint="eastAsia"/>
          <w:sz w:val="32"/>
          <w:szCs w:val="32"/>
        </w:rPr>
        <w:t>增加</w:t>
      </w:r>
      <w:r w:rsidR="00F63F73" w:rsidRPr="00A97415">
        <w:rPr>
          <w:rFonts w:ascii="仿宋" w:eastAsia="仿宋" w:hAnsi="仿宋" w:hint="eastAsia"/>
          <w:sz w:val="32"/>
          <w:szCs w:val="32"/>
        </w:rPr>
        <w:t>11</w:t>
      </w:r>
      <w:r w:rsidRPr="00A97415">
        <w:rPr>
          <w:rFonts w:ascii="仿宋" w:eastAsia="仿宋" w:hAnsi="仿宋" w:hint="eastAsia"/>
          <w:sz w:val="32"/>
          <w:szCs w:val="32"/>
        </w:rPr>
        <w:t>件，上升</w:t>
      </w:r>
      <w:r w:rsidR="00543E1F" w:rsidRPr="00A97415">
        <w:rPr>
          <w:rFonts w:ascii="仿宋" w:eastAsia="仿宋" w:hAnsi="仿宋" w:hint="eastAsia"/>
          <w:sz w:val="32"/>
          <w:szCs w:val="32"/>
        </w:rPr>
        <w:t>84.62</w:t>
      </w:r>
      <w:r w:rsidRPr="00A97415">
        <w:rPr>
          <w:rFonts w:ascii="仿宋" w:eastAsia="仿宋" w:hAnsi="仿宋" w:hint="eastAsia"/>
          <w:sz w:val="32"/>
          <w:szCs w:val="32"/>
        </w:rPr>
        <w:t>%；</w:t>
      </w:r>
      <w:r w:rsidR="00A11862" w:rsidRPr="00A97415">
        <w:rPr>
          <w:rFonts w:ascii="仿宋" w:eastAsia="仿宋" w:hAnsi="仿宋" w:hint="eastAsia"/>
          <w:sz w:val="32"/>
          <w:szCs w:val="32"/>
        </w:rPr>
        <w:t>执结</w:t>
      </w:r>
      <w:r w:rsidRPr="00A97415">
        <w:rPr>
          <w:rFonts w:ascii="仿宋" w:eastAsia="仿宋" w:hAnsi="仿宋" w:hint="eastAsia"/>
          <w:sz w:val="32"/>
          <w:szCs w:val="32"/>
        </w:rPr>
        <w:t>率上升</w:t>
      </w:r>
      <w:r w:rsidR="00F63F73" w:rsidRPr="00A97415">
        <w:rPr>
          <w:rFonts w:ascii="仿宋" w:eastAsia="仿宋" w:hAnsi="仿宋" w:hint="eastAsia"/>
          <w:sz w:val="32"/>
          <w:szCs w:val="32"/>
        </w:rPr>
        <w:t>38.63百分点</w:t>
      </w:r>
      <w:r w:rsidRPr="00A97415">
        <w:rPr>
          <w:rFonts w:ascii="仿宋" w:eastAsia="仿宋" w:hAnsi="仿宋" w:hint="eastAsia"/>
          <w:sz w:val="32"/>
          <w:szCs w:val="32"/>
        </w:rPr>
        <w:t>；未</w:t>
      </w:r>
      <w:r w:rsidR="00A11862" w:rsidRPr="00A97415">
        <w:rPr>
          <w:rFonts w:ascii="仿宋" w:eastAsia="仿宋" w:hAnsi="仿宋" w:hint="eastAsia"/>
          <w:sz w:val="32"/>
          <w:szCs w:val="32"/>
        </w:rPr>
        <w:t>执</w:t>
      </w:r>
      <w:r w:rsidRPr="00A97415">
        <w:rPr>
          <w:rFonts w:ascii="仿宋" w:eastAsia="仿宋" w:hAnsi="仿宋" w:hint="eastAsia"/>
          <w:sz w:val="32"/>
          <w:szCs w:val="32"/>
        </w:rPr>
        <w:t>结案件减少</w:t>
      </w:r>
      <w:r w:rsidR="00F63F73" w:rsidRPr="00A97415">
        <w:rPr>
          <w:rFonts w:ascii="仿宋" w:eastAsia="仿宋" w:hAnsi="仿宋" w:hint="eastAsia"/>
          <w:sz w:val="32"/>
          <w:szCs w:val="32"/>
        </w:rPr>
        <w:t>26</w:t>
      </w:r>
      <w:r w:rsidRPr="00A97415">
        <w:rPr>
          <w:rFonts w:ascii="仿宋" w:eastAsia="仿宋" w:hAnsi="仿宋" w:hint="eastAsia"/>
          <w:sz w:val="32"/>
          <w:szCs w:val="32"/>
        </w:rPr>
        <w:t>件，同比下降</w:t>
      </w:r>
      <w:r w:rsidR="00303B1F" w:rsidRPr="00A97415">
        <w:rPr>
          <w:rFonts w:ascii="仿宋" w:eastAsia="仿宋" w:hAnsi="仿宋" w:hint="eastAsia"/>
          <w:sz w:val="32"/>
          <w:szCs w:val="32"/>
        </w:rPr>
        <w:t>65.00</w:t>
      </w:r>
      <w:r w:rsidRPr="00A97415">
        <w:rPr>
          <w:rFonts w:ascii="仿宋" w:eastAsia="仿宋" w:hAnsi="仿宋" w:hint="eastAsia"/>
          <w:sz w:val="32"/>
          <w:szCs w:val="32"/>
        </w:rPr>
        <w:t>%</w:t>
      </w:r>
      <w:r w:rsidR="00913D8D" w:rsidRPr="00A97415">
        <w:rPr>
          <w:rFonts w:ascii="仿宋" w:eastAsia="仿宋" w:hAnsi="仿宋" w:hint="eastAsia"/>
          <w:sz w:val="32"/>
          <w:szCs w:val="32"/>
        </w:rPr>
        <w:t>（具体情况参照图表三）</w:t>
      </w:r>
      <w:r w:rsidRPr="00A97415">
        <w:rPr>
          <w:rFonts w:ascii="仿宋" w:eastAsia="仿宋" w:hAnsi="仿宋" w:hint="eastAsia"/>
          <w:sz w:val="32"/>
          <w:szCs w:val="32"/>
        </w:rPr>
        <w:t>。</w:t>
      </w:r>
    </w:p>
    <w:p w:rsidR="00CF3E69" w:rsidRDefault="00CF3E69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CF3E69" w:rsidRPr="00A97415" w:rsidRDefault="00CF3E69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color w:val="7030A0"/>
          <w:sz w:val="32"/>
          <w:szCs w:val="32"/>
        </w:rPr>
      </w:pPr>
    </w:p>
    <w:p w:rsidR="009D5558" w:rsidRDefault="004F2143" w:rsidP="00161267">
      <w:pPr>
        <w:spacing w:after="0" w:line="220" w:lineRule="atLeast"/>
        <w:jc w:val="both"/>
        <w:rPr>
          <w:rFonts w:asciiTheme="minorEastAsia" w:eastAsiaTheme="minorEastAsia" w:hAnsiTheme="minorEastAsia"/>
          <w:sz w:val="32"/>
          <w:szCs w:val="32"/>
        </w:rPr>
      </w:pPr>
      <w:r w:rsidRPr="004F2143">
        <w:rPr>
          <w:rFonts w:asciiTheme="minorEastAsia" w:eastAsiaTheme="minorEastAsia" w:hAnsiTheme="minorEastAsia"/>
          <w:noProof/>
          <w:sz w:val="32"/>
          <w:szCs w:val="32"/>
        </w:rPr>
        <w:drawing>
          <wp:inline distT="0" distB="0" distL="0" distR="0">
            <wp:extent cx="5274310" cy="3076575"/>
            <wp:effectExtent l="19050" t="0" r="21590" b="0"/>
            <wp:docPr id="10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04E0" w:rsidRDefault="00D204E0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</w:p>
    <w:p w:rsidR="00CF3E69" w:rsidRDefault="00CF3E69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</w:p>
    <w:p w:rsidR="00CF3E69" w:rsidRDefault="00CF3E69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</w:p>
    <w:p w:rsidR="006443A1" w:rsidRPr="00A97415" w:rsidRDefault="009D5558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A97415">
        <w:rPr>
          <w:rFonts w:ascii="黑体" w:eastAsia="黑体" w:hAnsi="黑体" w:hint="eastAsia"/>
          <w:sz w:val="32"/>
          <w:szCs w:val="32"/>
        </w:rPr>
        <w:t>（三）</w:t>
      </w:r>
      <w:r w:rsidR="00683181" w:rsidRPr="00A97415">
        <w:rPr>
          <w:rFonts w:ascii="黑体" w:eastAsia="黑体" w:hAnsi="黑体" w:hint="eastAsia"/>
          <w:sz w:val="32"/>
          <w:szCs w:val="32"/>
        </w:rPr>
        <w:t>1-3</w:t>
      </w:r>
      <w:r w:rsidRPr="00A97415">
        <w:rPr>
          <w:rFonts w:ascii="黑体" w:eastAsia="黑体" w:hAnsi="黑体" w:hint="eastAsia"/>
          <w:sz w:val="32"/>
          <w:szCs w:val="32"/>
        </w:rPr>
        <w:t>月</w:t>
      </w:r>
      <w:r w:rsidR="00AB050A" w:rsidRPr="00A97415">
        <w:rPr>
          <w:rFonts w:ascii="黑体" w:eastAsia="黑体" w:hAnsi="黑体" w:hint="eastAsia"/>
          <w:sz w:val="32"/>
          <w:szCs w:val="32"/>
        </w:rPr>
        <w:t>（员额法院13名）</w:t>
      </w:r>
      <w:r w:rsidR="006443A1" w:rsidRPr="00A97415">
        <w:rPr>
          <w:rFonts w:ascii="黑体" w:eastAsia="黑体" w:hAnsi="黑体" w:hint="eastAsia"/>
          <w:sz w:val="32"/>
          <w:szCs w:val="32"/>
        </w:rPr>
        <w:t>人均受案数</w:t>
      </w:r>
      <w:r w:rsidR="00AB050A" w:rsidRPr="00A97415">
        <w:rPr>
          <w:rFonts w:ascii="黑体" w:eastAsia="黑体" w:hAnsi="黑体" w:hint="eastAsia"/>
          <w:sz w:val="32"/>
          <w:szCs w:val="32"/>
        </w:rPr>
        <w:t>5.15</w:t>
      </w:r>
      <w:r w:rsidR="006443A1" w:rsidRPr="00A97415">
        <w:rPr>
          <w:rFonts w:ascii="黑体" w:eastAsia="黑体" w:hAnsi="黑体" w:hint="eastAsia"/>
          <w:sz w:val="32"/>
          <w:szCs w:val="32"/>
        </w:rPr>
        <w:t>件，人均结案数</w:t>
      </w:r>
      <w:r w:rsidR="00AB050A" w:rsidRPr="00A97415">
        <w:rPr>
          <w:rFonts w:ascii="黑体" w:eastAsia="黑体" w:hAnsi="黑体" w:hint="eastAsia"/>
          <w:sz w:val="32"/>
          <w:szCs w:val="32"/>
        </w:rPr>
        <w:t>3.69</w:t>
      </w:r>
      <w:r w:rsidR="006443A1" w:rsidRPr="00A97415">
        <w:rPr>
          <w:rFonts w:ascii="黑体" w:eastAsia="黑体" w:hAnsi="黑体" w:hint="eastAsia"/>
          <w:sz w:val="32"/>
          <w:szCs w:val="32"/>
        </w:rPr>
        <w:t>件</w:t>
      </w:r>
      <w:r w:rsidRPr="00A97415">
        <w:rPr>
          <w:rFonts w:ascii="黑体" w:eastAsia="黑体" w:hAnsi="黑体" w:hint="eastAsia"/>
          <w:sz w:val="32"/>
          <w:szCs w:val="32"/>
        </w:rPr>
        <w:t>。</w:t>
      </w:r>
    </w:p>
    <w:p w:rsidR="006443A1" w:rsidRPr="00A97415" w:rsidRDefault="006443A1" w:rsidP="00161267">
      <w:pPr>
        <w:spacing w:after="0" w:line="220" w:lineRule="atLeast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 w:rsidRPr="009B3704">
        <w:rPr>
          <w:rFonts w:asciiTheme="minorEastAsia" w:eastAsiaTheme="minorEastAsia" w:hAnsiTheme="minorEastAsia"/>
          <w:color w:val="7030A0"/>
          <w:sz w:val="32"/>
          <w:szCs w:val="32"/>
        </w:rPr>
        <w:t xml:space="preserve"> </w:t>
      </w:r>
      <w:r w:rsidR="009D5558">
        <w:rPr>
          <w:rFonts w:asciiTheme="minorEastAsia" w:eastAsiaTheme="minorEastAsia" w:hAnsiTheme="minorEastAsia" w:hint="eastAsia"/>
          <w:color w:val="7030A0"/>
          <w:sz w:val="32"/>
          <w:szCs w:val="32"/>
        </w:rPr>
        <w:t xml:space="preserve">   </w:t>
      </w:r>
      <w:r w:rsidR="009D5558" w:rsidRPr="00A97415">
        <w:rPr>
          <w:rFonts w:asciiTheme="minorEastAsia" w:eastAsiaTheme="minorEastAsia" w:hAnsiTheme="minorEastAsia" w:hint="eastAsia"/>
          <w:b/>
          <w:color w:val="7030A0"/>
          <w:sz w:val="32"/>
          <w:szCs w:val="32"/>
        </w:rPr>
        <w:t xml:space="preserve"> </w:t>
      </w:r>
      <w:r w:rsidRPr="00A97415">
        <w:rPr>
          <w:rFonts w:asciiTheme="minorEastAsia" w:eastAsiaTheme="minorEastAsia" w:hAnsiTheme="minorEastAsia" w:hint="eastAsia"/>
          <w:b/>
          <w:sz w:val="32"/>
          <w:szCs w:val="32"/>
        </w:rPr>
        <w:t>三、</w:t>
      </w:r>
      <w:r w:rsidR="009D5558" w:rsidRPr="00A97415">
        <w:rPr>
          <w:rFonts w:asciiTheme="minorEastAsia" w:eastAsiaTheme="minorEastAsia" w:hAnsiTheme="minorEastAsia" w:hint="eastAsia"/>
          <w:b/>
          <w:sz w:val="32"/>
          <w:szCs w:val="32"/>
        </w:rPr>
        <w:t>2019</w:t>
      </w:r>
      <w:r w:rsidRPr="00A97415">
        <w:rPr>
          <w:rFonts w:asciiTheme="minorEastAsia" w:eastAsiaTheme="minorEastAsia" w:hAnsiTheme="minorEastAsia" w:hint="eastAsia"/>
          <w:b/>
          <w:sz w:val="32"/>
          <w:szCs w:val="32"/>
        </w:rPr>
        <w:t>年</w:t>
      </w:r>
      <w:r w:rsidR="009D5558" w:rsidRPr="00A97415">
        <w:rPr>
          <w:rFonts w:asciiTheme="minorEastAsia" w:eastAsiaTheme="minorEastAsia" w:hAnsiTheme="minorEastAsia" w:hint="eastAsia"/>
          <w:b/>
          <w:sz w:val="32"/>
          <w:szCs w:val="32"/>
        </w:rPr>
        <w:t>1-3月</w:t>
      </w:r>
      <w:r w:rsidRPr="00A97415">
        <w:rPr>
          <w:rFonts w:asciiTheme="minorEastAsia" w:eastAsiaTheme="minorEastAsia" w:hAnsiTheme="minorEastAsia" w:hint="eastAsia"/>
          <w:b/>
          <w:sz w:val="32"/>
          <w:szCs w:val="32"/>
        </w:rPr>
        <w:t>诉讼案件新收情况</w:t>
      </w:r>
    </w:p>
    <w:p w:rsidR="006443A1" w:rsidRPr="00A97415" w:rsidRDefault="006443A1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A97415">
        <w:rPr>
          <w:rFonts w:ascii="黑体" w:eastAsia="黑体" w:hAnsi="黑体" w:hint="eastAsia"/>
          <w:sz w:val="32"/>
          <w:szCs w:val="32"/>
        </w:rPr>
        <w:t>（一）诉讼案件新收</w:t>
      </w:r>
      <w:r w:rsidR="009D5558" w:rsidRPr="00A97415">
        <w:rPr>
          <w:rFonts w:ascii="黑体" w:eastAsia="黑体" w:hAnsi="黑体" w:hint="eastAsia"/>
          <w:sz w:val="32"/>
          <w:szCs w:val="32"/>
        </w:rPr>
        <w:t>类型</w:t>
      </w:r>
      <w:r w:rsidRPr="00A97415">
        <w:rPr>
          <w:rFonts w:ascii="黑体" w:eastAsia="黑体" w:hAnsi="黑体" w:hint="eastAsia"/>
          <w:sz w:val="32"/>
          <w:szCs w:val="32"/>
        </w:rPr>
        <w:t>分布情况</w:t>
      </w:r>
    </w:p>
    <w:p w:rsidR="006443A1" w:rsidRPr="00A97415" w:rsidRDefault="006443A1" w:rsidP="004D03E0">
      <w:pPr>
        <w:spacing w:after="0" w:line="220" w:lineRule="atLeast"/>
        <w:ind w:firstLineChars="250" w:firstLine="800"/>
        <w:jc w:val="both"/>
        <w:rPr>
          <w:rFonts w:ascii="仿宋" w:eastAsia="仿宋" w:hAnsi="仿宋"/>
          <w:color w:val="7030A0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共新收诉讼案件</w:t>
      </w:r>
      <w:r w:rsidR="005F5DE4" w:rsidRPr="00A97415">
        <w:rPr>
          <w:rFonts w:ascii="仿宋" w:eastAsia="仿宋" w:hAnsi="仿宋" w:hint="eastAsia"/>
          <w:sz w:val="32"/>
          <w:szCs w:val="32"/>
        </w:rPr>
        <w:t>26</w:t>
      </w:r>
      <w:r w:rsidRPr="00A97415">
        <w:rPr>
          <w:rFonts w:ascii="仿宋" w:eastAsia="仿宋" w:hAnsi="仿宋" w:hint="eastAsia"/>
          <w:sz w:val="32"/>
          <w:szCs w:val="32"/>
        </w:rPr>
        <w:t>件，</w:t>
      </w:r>
      <w:r w:rsidR="005F5DE4" w:rsidRPr="00A97415">
        <w:rPr>
          <w:rFonts w:ascii="仿宋" w:eastAsia="仿宋" w:hAnsi="仿宋" w:hint="eastAsia"/>
          <w:sz w:val="32"/>
          <w:szCs w:val="32"/>
        </w:rPr>
        <w:t>与去年同期相比减少29</w:t>
      </w:r>
      <w:r w:rsidRPr="00A97415">
        <w:rPr>
          <w:rFonts w:ascii="仿宋" w:eastAsia="仿宋" w:hAnsi="仿宋" w:hint="eastAsia"/>
          <w:sz w:val="32"/>
          <w:szCs w:val="32"/>
        </w:rPr>
        <w:t>件，</w:t>
      </w:r>
      <w:r w:rsidR="00A716F9" w:rsidRPr="00A97415">
        <w:rPr>
          <w:rFonts w:ascii="仿宋" w:eastAsia="仿宋" w:hAnsi="仿宋" w:hint="eastAsia"/>
          <w:sz w:val="32"/>
          <w:szCs w:val="32"/>
        </w:rPr>
        <w:t>下降</w:t>
      </w:r>
      <w:r w:rsidR="00D10343" w:rsidRPr="00A97415">
        <w:rPr>
          <w:rFonts w:ascii="仿宋" w:eastAsia="仿宋" w:hAnsi="仿宋" w:hint="eastAsia"/>
          <w:sz w:val="32"/>
          <w:szCs w:val="32"/>
        </w:rPr>
        <w:t>52.73</w:t>
      </w:r>
      <w:r w:rsidRPr="00A97415">
        <w:rPr>
          <w:rFonts w:ascii="仿宋" w:eastAsia="仿宋" w:hAnsi="仿宋" w:hint="eastAsia"/>
          <w:sz w:val="32"/>
          <w:szCs w:val="32"/>
        </w:rPr>
        <w:t>%。</w:t>
      </w:r>
      <w:r w:rsidR="00FE60A8" w:rsidRPr="00A97415">
        <w:rPr>
          <w:rFonts w:ascii="仿宋" w:eastAsia="仿宋" w:hAnsi="仿宋" w:hint="eastAsia"/>
          <w:sz w:val="32"/>
          <w:szCs w:val="32"/>
        </w:rPr>
        <w:t>其中，</w:t>
      </w:r>
      <w:r w:rsidRPr="00A97415">
        <w:rPr>
          <w:rFonts w:ascii="仿宋" w:eastAsia="仿宋" w:hAnsi="仿宋" w:hint="eastAsia"/>
          <w:sz w:val="32"/>
          <w:szCs w:val="32"/>
        </w:rPr>
        <w:t>刑事新收</w:t>
      </w:r>
      <w:r w:rsidR="005F5DE4" w:rsidRPr="00A97415">
        <w:rPr>
          <w:rFonts w:ascii="仿宋" w:eastAsia="仿宋" w:hAnsi="仿宋" w:hint="eastAsia"/>
          <w:sz w:val="32"/>
          <w:szCs w:val="32"/>
        </w:rPr>
        <w:t>12</w:t>
      </w:r>
      <w:r w:rsidRPr="00A97415">
        <w:rPr>
          <w:rFonts w:ascii="仿宋" w:eastAsia="仿宋" w:hAnsi="仿宋" w:hint="eastAsia"/>
          <w:sz w:val="32"/>
          <w:szCs w:val="32"/>
        </w:rPr>
        <w:t>件，</w:t>
      </w:r>
      <w:r w:rsidR="005F5DE4" w:rsidRPr="00A97415">
        <w:rPr>
          <w:rFonts w:ascii="仿宋" w:eastAsia="仿宋" w:hAnsi="仿宋" w:hint="eastAsia"/>
          <w:sz w:val="32"/>
          <w:szCs w:val="32"/>
        </w:rPr>
        <w:t>同比增加</w:t>
      </w:r>
      <w:r w:rsidR="006B79F5" w:rsidRPr="00A97415">
        <w:rPr>
          <w:rFonts w:ascii="仿宋" w:eastAsia="仿宋" w:hAnsi="仿宋" w:hint="eastAsia"/>
          <w:sz w:val="32"/>
          <w:szCs w:val="32"/>
        </w:rPr>
        <w:t>8</w:t>
      </w:r>
      <w:r w:rsidRPr="00A97415">
        <w:rPr>
          <w:rFonts w:ascii="仿宋" w:eastAsia="仿宋" w:hAnsi="仿宋" w:hint="eastAsia"/>
          <w:sz w:val="32"/>
          <w:szCs w:val="32"/>
        </w:rPr>
        <w:t>件，</w:t>
      </w:r>
      <w:r w:rsidR="006B79F5" w:rsidRPr="00A97415">
        <w:rPr>
          <w:rFonts w:ascii="仿宋" w:eastAsia="仿宋" w:hAnsi="仿宋" w:hint="eastAsia"/>
          <w:sz w:val="32"/>
          <w:szCs w:val="32"/>
        </w:rPr>
        <w:t>上升</w:t>
      </w:r>
      <w:r w:rsidR="002D207D" w:rsidRPr="00A97415">
        <w:rPr>
          <w:rFonts w:ascii="仿宋" w:eastAsia="仿宋" w:hAnsi="仿宋" w:hint="eastAsia"/>
          <w:sz w:val="32"/>
          <w:szCs w:val="32"/>
        </w:rPr>
        <w:t>了</w:t>
      </w:r>
      <w:r w:rsidR="00FE60A8" w:rsidRPr="00A97415">
        <w:rPr>
          <w:rFonts w:ascii="仿宋" w:eastAsia="仿宋" w:hAnsi="仿宋" w:hint="eastAsia"/>
          <w:sz w:val="32"/>
          <w:szCs w:val="32"/>
        </w:rPr>
        <w:t>300%</w:t>
      </w:r>
      <w:r w:rsidRPr="00A97415">
        <w:rPr>
          <w:rFonts w:ascii="仿宋" w:eastAsia="仿宋" w:hAnsi="仿宋" w:hint="eastAsia"/>
          <w:sz w:val="32"/>
          <w:szCs w:val="32"/>
        </w:rPr>
        <w:t>；民事新收</w:t>
      </w:r>
      <w:r w:rsidR="005F5DE4" w:rsidRPr="00A97415">
        <w:rPr>
          <w:rFonts w:ascii="仿宋" w:eastAsia="仿宋" w:hAnsi="仿宋" w:hint="eastAsia"/>
          <w:sz w:val="32"/>
          <w:szCs w:val="32"/>
        </w:rPr>
        <w:t>14</w:t>
      </w:r>
      <w:r w:rsidRPr="00A97415">
        <w:rPr>
          <w:rFonts w:ascii="仿宋" w:eastAsia="仿宋" w:hAnsi="仿宋" w:hint="eastAsia"/>
          <w:sz w:val="32"/>
          <w:szCs w:val="32"/>
        </w:rPr>
        <w:t>件，</w:t>
      </w:r>
      <w:r w:rsidR="006B79F5" w:rsidRPr="00A97415">
        <w:rPr>
          <w:rFonts w:ascii="仿宋" w:eastAsia="仿宋" w:hAnsi="仿宋" w:hint="eastAsia"/>
          <w:sz w:val="32"/>
          <w:szCs w:val="32"/>
        </w:rPr>
        <w:t>同比减少37</w:t>
      </w:r>
      <w:r w:rsidRPr="00A97415">
        <w:rPr>
          <w:rFonts w:ascii="仿宋" w:eastAsia="仿宋" w:hAnsi="仿宋" w:hint="eastAsia"/>
          <w:sz w:val="32"/>
          <w:szCs w:val="32"/>
        </w:rPr>
        <w:t>件，</w:t>
      </w:r>
      <w:r w:rsidR="006B79F5" w:rsidRPr="00A97415">
        <w:rPr>
          <w:rFonts w:ascii="仿宋" w:eastAsia="仿宋" w:hAnsi="仿宋" w:hint="eastAsia"/>
          <w:sz w:val="32"/>
          <w:szCs w:val="32"/>
        </w:rPr>
        <w:t>下降</w:t>
      </w:r>
      <w:r w:rsidR="0067428C" w:rsidRPr="00A97415">
        <w:rPr>
          <w:rFonts w:ascii="仿宋" w:eastAsia="仿宋" w:hAnsi="仿宋" w:hint="eastAsia"/>
          <w:sz w:val="32"/>
          <w:szCs w:val="32"/>
        </w:rPr>
        <w:t>72.55</w:t>
      </w:r>
      <w:r w:rsidRPr="00A97415">
        <w:rPr>
          <w:rFonts w:ascii="仿宋" w:eastAsia="仿宋" w:hAnsi="仿宋" w:hint="eastAsia"/>
          <w:sz w:val="32"/>
          <w:szCs w:val="32"/>
        </w:rPr>
        <w:t>%；行政新收</w:t>
      </w:r>
      <w:r w:rsidR="005F5DE4" w:rsidRPr="00A97415">
        <w:rPr>
          <w:rFonts w:ascii="仿宋" w:eastAsia="仿宋" w:hAnsi="仿宋" w:hint="eastAsia"/>
          <w:sz w:val="32"/>
          <w:szCs w:val="32"/>
        </w:rPr>
        <w:t>0</w:t>
      </w:r>
      <w:r w:rsidRPr="00A97415">
        <w:rPr>
          <w:rFonts w:ascii="仿宋" w:eastAsia="仿宋" w:hAnsi="仿宋" w:hint="eastAsia"/>
          <w:sz w:val="32"/>
          <w:szCs w:val="32"/>
        </w:rPr>
        <w:t>件，</w:t>
      </w:r>
      <w:r w:rsidR="00A716F9" w:rsidRPr="00A97415">
        <w:rPr>
          <w:rFonts w:ascii="仿宋" w:eastAsia="仿宋" w:hAnsi="仿宋" w:hint="eastAsia"/>
          <w:sz w:val="32"/>
          <w:szCs w:val="32"/>
        </w:rPr>
        <w:t>与</w:t>
      </w:r>
      <w:r w:rsidR="006B79F5" w:rsidRPr="00A97415">
        <w:rPr>
          <w:rFonts w:ascii="仿宋" w:eastAsia="仿宋" w:hAnsi="仿宋" w:hint="eastAsia"/>
          <w:sz w:val="32"/>
          <w:szCs w:val="32"/>
        </w:rPr>
        <w:t>同比持平</w:t>
      </w:r>
      <w:r w:rsidR="00CB07EB" w:rsidRPr="00A97415">
        <w:rPr>
          <w:rFonts w:ascii="仿宋" w:eastAsia="仿宋" w:hAnsi="仿宋" w:hint="eastAsia"/>
          <w:sz w:val="32"/>
          <w:szCs w:val="32"/>
        </w:rPr>
        <w:t>，（具体情况参照图表四）</w:t>
      </w:r>
      <w:r w:rsidRPr="00A97415">
        <w:rPr>
          <w:rFonts w:ascii="仿宋" w:eastAsia="仿宋" w:hAnsi="仿宋" w:hint="eastAsia"/>
          <w:color w:val="7030A0"/>
          <w:sz w:val="32"/>
          <w:szCs w:val="32"/>
        </w:rPr>
        <w:t>。</w:t>
      </w:r>
    </w:p>
    <w:p w:rsidR="00913D8D" w:rsidRPr="009B3704" w:rsidRDefault="004F2143" w:rsidP="00161267">
      <w:pPr>
        <w:spacing w:after="0" w:line="220" w:lineRule="atLeast"/>
        <w:jc w:val="both"/>
        <w:rPr>
          <w:rFonts w:asciiTheme="minorEastAsia" w:eastAsiaTheme="minorEastAsia" w:hAnsiTheme="minorEastAsia"/>
          <w:color w:val="7030A0"/>
          <w:sz w:val="32"/>
          <w:szCs w:val="32"/>
        </w:rPr>
      </w:pPr>
      <w:r w:rsidRPr="004F2143">
        <w:rPr>
          <w:rFonts w:asciiTheme="minorEastAsia" w:eastAsiaTheme="minorEastAsia" w:hAnsiTheme="minorEastAsia"/>
          <w:noProof/>
          <w:color w:val="7030A0"/>
          <w:sz w:val="32"/>
          <w:szCs w:val="32"/>
        </w:rPr>
        <w:drawing>
          <wp:inline distT="0" distB="0" distL="0" distR="0">
            <wp:extent cx="5274310" cy="3162300"/>
            <wp:effectExtent l="19050" t="0" r="21590" b="0"/>
            <wp:docPr id="11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6482" w:rsidRDefault="003D6482" w:rsidP="00161267">
      <w:pPr>
        <w:spacing w:after="0" w:line="220" w:lineRule="atLeas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6443A1" w:rsidRPr="00A97415" w:rsidRDefault="006443A1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A97415">
        <w:rPr>
          <w:rFonts w:ascii="黑体" w:eastAsia="黑体" w:hAnsi="黑体" w:hint="eastAsia"/>
          <w:sz w:val="32"/>
          <w:szCs w:val="32"/>
        </w:rPr>
        <w:t>（二）新收诉讼案件案由、罪名情况</w:t>
      </w:r>
    </w:p>
    <w:p w:rsidR="006443A1" w:rsidRDefault="00B4148E" w:rsidP="007C06A7">
      <w:pPr>
        <w:spacing w:after="0" w:line="220" w:lineRule="atLeast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1-3月</w:t>
      </w:r>
      <w:r w:rsidR="006443A1" w:rsidRPr="00A97415">
        <w:rPr>
          <w:rFonts w:ascii="仿宋" w:eastAsia="仿宋" w:hAnsi="仿宋" w:hint="eastAsia"/>
          <w:sz w:val="32"/>
          <w:szCs w:val="32"/>
        </w:rPr>
        <w:t>新收民事案件中，数量最多、占比最大的</w:t>
      </w:r>
      <w:r w:rsidR="001633F2" w:rsidRPr="00A97415">
        <w:rPr>
          <w:rFonts w:ascii="仿宋" w:eastAsia="仿宋" w:hAnsi="仿宋" w:hint="eastAsia"/>
          <w:sz w:val="32"/>
          <w:szCs w:val="32"/>
        </w:rPr>
        <w:t>4</w:t>
      </w:r>
      <w:r w:rsidR="006443A1" w:rsidRPr="00A97415">
        <w:rPr>
          <w:rFonts w:ascii="仿宋" w:eastAsia="仿宋" w:hAnsi="仿宋" w:hint="eastAsia"/>
          <w:sz w:val="32"/>
          <w:szCs w:val="32"/>
        </w:rPr>
        <w:t>个案由（不区分案由级别）分别是</w:t>
      </w:r>
      <w:r w:rsidR="001633F2" w:rsidRPr="00A97415">
        <w:rPr>
          <w:rFonts w:ascii="仿宋" w:eastAsia="仿宋" w:hAnsi="仿宋" w:hint="eastAsia"/>
          <w:sz w:val="32"/>
          <w:szCs w:val="32"/>
        </w:rPr>
        <w:t>承包合同纠纷4</w:t>
      </w:r>
      <w:r w:rsidR="0003509F" w:rsidRPr="00A97415">
        <w:rPr>
          <w:rFonts w:ascii="仿宋" w:eastAsia="仿宋" w:hAnsi="仿宋" w:hint="eastAsia"/>
          <w:sz w:val="32"/>
          <w:szCs w:val="32"/>
        </w:rPr>
        <w:t>件、</w:t>
      </w:r>
      <w:r w:rsidR="001633F2" w:rsidRPr="00A97415">
        <w:rPr>
          <w:rFonts w:ascii="仿宋" w:eastAsia="仿宋" w:hAnsi="仿宋" w:hint="eastAsia"/>
          <w:sz w:val="32"/>
          <w:szCs w:val="32"/>
        </w:rPr>
        <w:t>股东知情权纠纷3件</w:t>
      </w:r>
      <w:r w:rsidR="0003509F" w:rsidRPr="00A97415">
        <w:rPr>
          <w:rFonts w:ascii="仿宋" w:eastAsia="仿宋" w:hAnsi="仿宋" w:hint="eastAsia"/>
          <w:color w:val="7030A0"/>
          <w:sz w:val="32"/>
          <w:szCs w:val="32"/>
        </w:rPr>
        <w:t>、</w:t>
      </w:r>
      <w:r w:rsidR="006443A1" w:rsidRPr="00A97415">
        <w:rPr>
          <w:rFonts w:ascii="仿宋" w:eastAsia="仿宋" w:hAnsi="仿宋" w:hint="eastAsia"/>
          <w:sz w:val="32"/>
          <w:szCs w:val="32"/>
        </w:rPr>
        <w:t>民间借贷纠纷</w:t>
      </w:r>
      <w:r w:rsidR="001633F2" w:rsidRPr="00A97415">
        <w:rPr>
          <w:rFonts w:ascii="仿宋" w:eastAsia="仿宋" w:hAnsi="仿宋" w:hint="eastAsia"/>
          <w:sz w:val="32"/>
          <w:szCs w:val="32"/>
        </w:rPr>
        <w:t>3</w:t>
      </w:r>
      <w:r w:rsidR="006443A1" w:rsidRPr="00A97415">
        <w:rPr>
          <w:rFonts w:ascii="仿宋" w:eastAsia="仿宋" w:hAnsi="仿宋" w:hint="eastAsia"/>
          <w:sz w:val="32"/>
          <w:szCs w:val="32"/>
        </w:rPr>
        <w:t>件</w:t>
      </w:r>
      <w:r w:rsidR="0003509F" w:rsidRPr="00A97415">
        <w:rPr>
          <w:rFonts w:ascii="仿宋" w:eastAsia="仿宋" w:hAnsi="仿宋" w:hint="eastAsia"/>
          <w:color w:val="7030A0"/>
          <w:sz w:val="32"/>
          <w:szCs w:val="32"/>
        </w:rPr>
        <w:t>、</w:t>
      </w:r>
      <w:r w:rsidR="001633F2" w:rsidRPr="00A97415">
        <w:rPr>
          <w:rFonts w:ascii="仿宋" w:eastAsia="仿宋" w:hAnsi="仿宋" w:hint="eastAsia"/>
          <w:sz w:val="32"/>
          <w:szCs w:val="32"/>
        </w:rPr>
        <w:t>物业服务合同纠纷2件，</w:t>
      </w:r>
      <w:r w:rsidR="006443A1" w:rsidRPr="00A97415">
        <w:rPr>
          <w:rFonts w:ascii="仿宋" w:eastAsia="仿宋" w:hAnsi="仿宋" w:hint="eastAsia"/>
          <w:sz w:val="32"/>
          <w:szCs w:val="32"/>
        </w:rPr>
        <w:t>分别占全部民事新收案件数</w:t>
      </w:r>
      <w:r w:rsidR="00BB3B0B" w:rsidRPr="00A97415">
        <w:rPr>
          <w:rFonts w:ascii="仿宋" w:eastAsia="仿宋" w:hAnsi="仿宋" w:hint="eastAsia"/>
          <w:sz w:val="32"/>
          <w:szCs w:val="32"/>
        </w:rPr>
        <w:t>26</w:t>
      </w:r>
      <w:r w:rsidR="006443A1" w:rsidRPr="00A97415">
        <w:rPr>
          <w:rFonts w:ascii="仿宋" w:eastAsia="仿宋" w:hAnsi="仿宋" w:hint="eastAsia"/>
          <w:sz w:val="32"/>
          <w:szCs w:val="32"/>
        </w:rPr>
        <w:t>件的</w:t>
      </w:r>
      <w:r w:rsidR="00DB7351" w:rsidRPr="00A97415">
        <w:rPr>
          <w:rFonts w:ascii="仿宋" w:eastAsia="仿宋" w:hAnsi="仿宋" w:hint="eastAsia"/>
          <w:sz w:val="32"/>
          <w:szCs w:val="32"/>
        </w:rPr>
        <w:t>15.38</w:t>
      </w:r>
      <w:r w:rsidR="006443A1" w:rsidRPr="00A97415">
        <w:rPr>
          <w:rFonts w:ascii="仿宋" w:eastAsia="仿宋" w:hAnsi="仿宋" w:hint="eastAsia"/>
          <w:sz w:val="32"/>
          <w:szCs w:val="32"/>
        </w:rPr>
        <w:t>%、</w:t>
      </w:r>
      <w:r w:rsidR="00DB7351" w:rsidRPr="00A97415">
        <w:rPr>
          <w:rFonts w:ascii="仿宋" w:eastAsia="仿宋" w:hAnsi="仿宋" w:hint="eastAsia"/>
          <w:sz w:val="32"/>
          <w:szCs w:val="32"/>
        </w:rPr>
        <w:t>11.54</w:t>
      </w:r>
      <w:r w:rsidR="006443A1" w:rsidRPr="00A97415">
        <w:rPr>
          <w:rFonts w:ascii="仿宋" w:eastAsia="仿宋" w:hAnsi="仿宋" w:hint="eastAsia"/>
          <w:sz w:val="32"/>
          <w:szCs w:val="32"/>
        </w:rPr>
        <w:t>%、</w:t>
      </w:r>
      <w:r w:rsidR="00DB7351" w:rsidRPr="00A97415">
        <w:rPr>
          <w:rFonts w:ascii="仿宋" w:eastAsia="仿宋" w:hAnsi="仿宋" w:hint="eastAsia"/>
          <w:sz w:val="32"/>
          <w:szCs w:val="32"/>
        </w:rPr>
        <w:t>11.54</w:t>
      </w:r>
      <w:r w:rsidR="006443A1" w:rsidRPr="00A97415">
        <w:rPr>
          <w:rFonts w:ascii="仿宋" w:eastAsia="仿宋" w:hAnsi="仿宋" w:hint="eastAsia"/>
          <w:sz w:val="32"/>
          <w:szCs w:val="32"/>
        </w:rPr>
        <w:t>%、</w:t>
      </w:r>
      <w:r w:rsidR="00DB7351" w:rsidRPr="00A97415">
        <w:rPr>
          <w:rFonts w:ascii="仿宋" w:eastAsia="仿宋" w:hAnsi="仿宋" w:hint="eastAsia"/>
          <w:sz w:val="32"/>
          <w:szCs w:val="32"/>
        </w:rPr>
        <w:t>7.69</w:t>
      </w:r>
      <w:r w:rsidR="006443A1" w:rsidRPr="00A97415">
        <w:rPr>
          <w:rFonts w:ascii="仿宋" w:eastAsia="仿宋" w:hAnsi="仿宋" w:hint="eastAsia"/>
          <w:sz w:val="32"/>
          <w:szCs w:val="32"/>
        </w:rPr>
        <w:t>%</w:t>
      </w:r>
      <w:r w:rsidR="004C1F99" w:rsidRPr="00A97415">
        <w:rPr>
          <w:rFonts w:ascii="仿宋" w:eastAsia="仿宋" w:hAnsi="仿宋" w:hint="eastAsia"/>
          <w:sz w:val="32"/>
          <w:szCs w:val="32"/>
        </w:rPr>
        <w:t>（具体情况参照图表五）</w:t>
      </w:r>
      <w:r w:rsidR="006443A1" w:rsidRPr="00A97415">
        <w:rPr>
          <w:rFonts w:ascii="仿宋" w:eastAsia="仿宋" w:hAnsi="仿宋" w:hint="eastAsia"/>
          <w:sz w:val="32"/>
          <w:szCs w:val="32"/>
        </w:rPr>
        <w:t>。</w:t>
      </w:r>
    </w:p>
    <w:p w:rsidR="00CF3E69" w:rsidRPr="00A97415" w:rsidRDefault="00CF3E69" w:rsidP="007C06A7">
      <w:pPr>
        <w:spacing w:after="0" w:line="220" w:lineRule="atLeast"/>
        <w:ind w:firstLineChars="250" w:firstLine="800"/>
        <w:jc w:val="both"/>
        <w:rPr>
          <w:rFonts w:ascii="仿宋" w:eastAsia="仿宋" w:hAnsi="仿宋"/>
          <w:sz w:val="32"/>
          <w:szCs w:val="32"/>
        </w:rPr>
      </w:pPr>
    </w:p>
    <w:p w:rsidR="00CB07EB" w:rsidRPr="001633F2" w:rsidRDefault="00CB07EB" w:rsidP="00161267">
      <w:pPr>
        <w:spacing w:after="0" w:line="220" w:lineRule="atLeast"/>
        <w:jc w:val="both"/>
        <w:rPr>
          <w:rFonts w:asciiTheme="minorEastAsia" w:eastAsiaTheme="minorEastAsia" w:hAnsiTheme="minorEastAsia"/>
          <w:color w:val="FF0000"/>
          <w:sz w:val="32"/>
          <w:szCs w:val="32"/>
        </w:rPr>
      </w:pPr>
      <w:r>
        <w:rPr>
          <w:rFonts w:asciiTheme="minorEastAsia" w:eastAsiaTheme="minorEastAsia" w:hAnsiTheme="minorEastAsia"/>
          <w:noProof/>
          <w:color w:val="FF0000"/>
          <w:sz w:val="32"/>
          <w:szCs w:val="32"/>
        </w:rPr>
        <w:drawing>
          <wp:inline distT="0" distB="0" distL="0" distR="0">
            <wp:extent cx="5274310" cy="3076575"/>
            <wp:effectExtent l="19050" t="0" r="2159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3E69" w:rsidRDefault="00CF3E69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6443A1" w:rsidRDefault="003B506A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1-3月</w:t>
      </w:r>
      <w:r w:rsidR="006443A1" w:rsidRPr="00A97415">
        <w:rPr>
          <w:rFonts w:ascii="仿宋" w:eastAsia="仿宋" w:hAnsi="仿宋" w:hint="eastAsia"/>
          <w:sz w:val="32"/>
          <w:szCs w:val="32"/>
        </w:rPr>
        <w:t>新收刑事案件中，数量最多、占比最大的</w:t>
      </w:r>
      <w:r w:rsidR="0003509F" w:rsidRPr="00A97415">
        <w:rPr>
          <w:rFonts w:ascii="仿宋" w:eastAsia="仿宋" w:hAnsi="仿宋" w:hint="eastAsia"/>
          <w:sz w:val="32"/>
          <w:szCs w:val="32"/>
        </w:rPr>
        <w:t>2</w:t>
      </w:r>
      <w:r w:rsidR="006443A1" w:rsidRPr="00A97415">
        <w:rPr>
          <w:rFonts w:ascii="仿宋" w:eastAsia="仿宋" w:hAnsi="仿宋" w:hint="eastAsia"/>
          <w:sz w:val="32"/>
          <w:szCs w:val="32"/>
        </w:rPr>
        <w:t>个罪名分别是</w:t>
      </w:r>
      <w:r w:rsidR="0003509F" w:rsidRPr="00A97415">
        <w:rPr>
          <w:rFonts w:ascii="仿宋" w:eastAsia="仿宋" w:hAnsi="仿宋" w:hint="eastAsia"/>
          <w:sz w:val="32"/>
          <w:szCs w:val="32"/>
        </w:rPr>
        <w:t>盗伐林木</w:t>
      </w:r>
      <w:r w:rsidR="006443A1" w:rsidRPr="00A97415">
        <w:rPr>
          <w:rFonts w:ascii="仿宋" w:eastAsia="仿宋" w:hAnsi="仿宋" w:hint="eastAsia"/>
          <w:sz w:val="32"/>
          <w:szCs w:val="32"/>
        </w:rPr>
        <w:t>罪</w:t>
      </w:r>
      <w:r w:rsidR="0003509F" w:rsidRPr="00A97415">
        <w:rPr>
          <w:rFonts w:ascii="仿宋" w:eastAsia="仿宋" w:hAnsi="仿宋" w:hint="eastAsia"/>
          <w:sz w:val="32"/>
          <w:szCs w:val="32"/>
        </w:rPr>
        <w:t>4件，非法采伐、毁坏国家重点保护植物罪3</w:t>
      </w:r>
      <w:r w:rsidR="006443A1" w:rsidRPr="00A97415">
        <w:rPr>
          <w:rFonts w:ascii="仿宋" w:eastAsia="仿宋" w:hAnsi="仿宋" w:hint="eastAsia"/>
          <w:sz w:val="32"/>
          <w:szCs w:val="32"/>
        </w:rPr>
        <w:t>件，分别占刑事新收案件数</w:t>
      </w:r>
      <w:r w:rsidR="0003509F" w:rsidRPr="00A97415">
        <w:rPr>
          <w:rFonts w:ascii="仿宋" w:eastAsia="仿宋" w:hAnsi="仿宋" w:hint="eastAsia"/>
          <w:sz w:val="32"/>
          <w:szCs w:val="32"/>
        </w:rPr>
        <w:t>12</w:t>
      </w:r>
      <w:r w:rsidR="006443A1" w:rsidRPr="00A97415">
        <w:rPr>
          <w:rFonts w:ascii="仿宋" w:eastAsia="仿宋" w:hAnsi="仿宋" w:hint="eastAsia"/>
          <w:sz w:val="32"/>
          <w:szCs w:val="32"/>
        </w:rPr>
        <w:t>件的</w:t>
      </w:r>
      <w:r w:rsidR="000C57C5" w:rsidRPr="00A97415">
        <w:rPr>
          <w:rFonts w:ascii="仿宋" w:eastAsia="仿宋" w:hAnsi="仿宋" w:hint="eastAsia"/>
          <w:sz w:val="32"/>
          <w:szCs w:val="32"/>
        </w:rPr>
        <w:t>33.33%</w:t>
      </w:r>
      <w:r w:rsidR="006443A1" w:rsidRPr="00A97415">
        <w:rPr>
          <w:rFonts w:ascii="仿宋" w:eastAsia="仿宋" w:hAnsi="仿宋" w:hint="eastAsia"/>
          <w:sz w:val="32"/>
          <w:szCs w:val="32"/>
        </w:rPr>
        <w:t>、</w:t>
      </w:r>
      <w:r w:rsidR="000C57C5" w:rsidRPr="00A97415">
        <w:rPr>
          <w:rFonts w:ascii="仿宋" w:eastAsia="仿宋" w:hAnsi="仿宋" w:hint="eastAsia"/>
          <w:sz w:val="32"/>
          <w:szCs w:val="32"/>
        </w:rPr>
        <w:t>25.00</w:t>
      </w:r>
      <w:r w:rsidR="006443A1" w:rsidRPr="00A97415">
        <w:rPr>
          <w:rFonts w:ascii="仿宋" w:eastAsia="仿宋" w:hAnsi="仿宋" w:hint="eastAsia"/>
          <w:sz w:val="32"/>
          <w:szCs w:val="32"/>
        </w:rPr>
        <w:t>%</w:t>
      </w:r>
      <w:r w:rsidR="004C1F99" w:rsidRPr="00A97415">
        <w:rPr>
          <w:rFonts w:ascii="仿宋" w:eastAsia="仿宋" w:hAnsi="仿宋" w:hint="eastAsia"/>
          <w:sz w:val="32"/>
          <w:szCs w:val="32"/>
        </w:rPr>
        <w:t>，（具体情况参照图表六）</w:t>
      </w:r>
      <w:r w:rsidR="006443A1" w:rsidRPr="00A97415">
        <w:rPr>
          <w:rFonts w:ascii="仿宋" w:eastAsia="仿宋" w:hAnsi="仿宋" w:hint="eastAsia"/>
          <w:sz w:val="32"/>
          <w:szCs w:val="32"/>
        </w:rPr>
        <w:t>。</w:t>
      </w:r>
    </w:p>
    <w:p w:rsidR="00CF3E69" w:rsidRPr="00A97415" w:rsidRDefault="00CF3E69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4C1F99" w:rsidRPr="009B3704" w:rsidRDefault="004C1F99" w:rsidP="00161267">
      <w:pPr>
        <w:spacing w:after="0" w:line="220" w:lineRule="atLeast"/>
        <w:jc w:val="both"/>
        <w:rPr>
          <w:rFonts w:asciiTheme="minorEastAsia" w:eastAsiaTheme="minorEastAsia" w:hAnsiTheme="minorEastAsia"/>
          <w:color w:val="7030A0"/>
          <w:sz w:val="32"/>
          <w:szCs w:val="32"/>
        </w:rPr>
      </w:pPr>
      <w:r>
        <w:rPr>
          <w:rFonts w:asciiTheme="minorEastAsia" w:eastAsiaTheme="minorEastAsia" w:hAnsiTheme="minorEastAsia"/>
          <w:noProof/>
          <w:color w:val="7030A0"/>
          <w:sz w:val="32"/>
          <w:szCs w:val="32"/>
        </w:rPr>
        <w:drawing>
          <wp:inline distT="0" distB="0" distL="0" distR="0">
            <wp:extent cx="5274310" cy="3076575"/>
            <wp:effectExtent l="19050" t="0" r="2159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6482" w:rsidRDefault="006443A1" w:rsidP="00161267">
      <w:pPr>
        <w:spacing w:after="0" w:line="220" w:lineRule="atLeast"/>
        <w:jc w:val="both"/>
        <w:rPr>
          <w:rFonts w:asciiTheme="minorEastAsia" w:eastAsiaTheme="minorEastAsia" w:hAnsiTheme="minorEastAsia"/>
          <w:color w:val="7030A0"/>
          <w:sz w:val="32"/>
          <w:szCs w:val="32"/>
        </w:rPr>
      </w:pPr>
      <w:r w:rsidRPr="009B3704">
        <w:rPr>
          <w:rFonts w:asciiTheme="minorEastAsia" w:eastAsiaTheme="minorEastAsia" w:hAnsiTheme="minorEastAsia"/>
          <w:color w:val="7030A0"/>
          <w:sz w:val="32"/>
          <w:szCs w:val="32"/>
        </w:rPr>
        <w:t xml:space="preserve"> </w:t>
      </w:r>
      <w:r w:rsidR="00D12764">
        <w:rPr>
          <w:rFonts w:asciiTheme="minorEastAsia" w:eastAsiaTheme="minorEastAsia" w:hAnsiTheme="minorEastAsia" w:hint="eastAsia"/>
          <w:color w:val="7030A0"/>
          <w:sz w:val="32"/>
          <w:szCs w:val="32"/>
        </w:rPr>
        <w:t xml:space="preserve">  </w:t>
      </w:r>
    </w:p>
    <w:p w:rsidR="006443A1" w:rsidRPr="00D204E0" w:rsidRDefault="00D12764" w:rsidP="00FE459D">
      <w:pPr>
        <w:spacing w:after="0" w:line="220" w:lineRule="atLeast"/>
        <w:jc w:val="both"/>
        <w:rPr>
          <w:rFonts w:asciiTheme="minorEastAsia" w:eastAsiaTheme="minorEastAsia" w:hAnsiTheme="minorEastAsia"/>
          <w:b/>
          <w:color w:val="7030A0"/>
          <w:sz w:val="32"/>
          <w:szCs w:val="32"/>
        </w:rPr>
      </w:pPr>
      <w:r w:rsidRPr="00A97415">
        <w:rPr>
          <w:rFonts w:asciiTheme="minorEastAsia" w:eastAsiaTheme="minorEastAsia" w:hAnsiTheme="minorEastAsia" w:hint="eastAsia"/>
          <w:b/>
          <w:color w:val="7030A0"/>
          <w:sz w:val="32"/>
          <w:szCs w:val="32"/>
        </w:rPr>
        <w:t xml:space="preserve"> </w:t>
      </w:r>
      <w:r w:rsidR="00D17C39" w:rsidRPr="00A97415">
        <w:rPr>
          <w:rFonts w:asciiTheme="minorEastAsia" w:eastAsiaTheme="minorEastAsia" w:hAnsiTheme="minorEastAsia" w:hint="eastAsia"/>
          <w:b/>
          <w:color w:val="7030A0"/>
          <w:sz w:val="32"/>
          <w:szCs w:val="32"/>
        </w:rPr>
        <w:t xml:space="preserve">    </w:t>
      </w:r>
      <w:r w:rsidR="006443A1" w:rsidRPr="00A97415">
        <w:rPr>
          <w:rFonts w:asciiTheme="minorEastAsia" w:eastAsiaTheme="minorEastAsia" w:hAnsiTheme="minorEastAsia" w:hint="eastAsia"/>
          <w:b/>
          <w:sz w:val="32"/>
          <w:szCs w:val="32"/>
        </w:rPr>
        <w:t>四、</w:t>
      </w:r>
      <w:r w:rsidRPr="00A97415">
        <w:rPr>
          <w:rFonts w:asciiTheme="minorEastAsia" w:eastAsiaTheme="minorEastAsia" w:hAnsiTheme="minorEastAsia" w:hint="eastAsia"/>
          <w:b/>
          <w:sz w:val="32"/>
          <w:szCs w:val="32"/>
        </w:rPr>
        <w:t>1-3月</w:t>
      </w:r>
      <w:r w:rsidR="006443A1" w:rsidRPr="00A97415">
        <w:rPr>
          <w:rFonts w:asciiTheme="minorEastAsia" w:eastAsiaTheme="minorEastAsia" w:hAnsiTheme="minorEastAsia" w:hint="eastAsia"/>
          <w:b/>
          <w:sz w:val="32"/>
          <w:szCs w:val="32"/>
        </w:rPr>
        <w:t>审结诉讼案件情况</w:t>
      </w:r>
    </w:p>
    <w:p w:rsidR="006443A1" w:rsidRPr="00A97415" w:rsidRDefault="006443A1" w:rsidP="00D6536E">
      <w:pPr>
        <w:spacing w:after="0" w:line="220" w:lineRule="atLeast"/>
        <w:ind w:firstLineChars="250" w:firstLine="800"/>
        <w:jc w:val="both"/>
        <w:rPr>
          <w:rFonts w:ascii="仿宋" w:eastAsia="仿宋" w:hAnsi="仿宋"/>
          <w:color w:val="7030A0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审结诉讼案件</w:t>
      </w:r>
      <w:r w:rsidR="00EB564C" w:rsidRPr="00A97415">
        <w:rPr>
          <w:rFonts w:ascii="仿宋" w:eastAsia="仿宋" w:hAnsi="仿宋" w:hint="eastAsia"/>
          <w:sz w:val="32"/>
          <w:szCs w:val="32"/>
        </w:rPr>
        <w:t>24</w:t>
      </w:r>
      <w:r w:rsidRPr="00A97415">
        <w:rPr>
          <w:rFonts w:ascii="仿宋" w:eastAsia="仿宋" w:hAnsi="仿宋" w:hint="eastAsia"/>
          <w:sz w:val="32"/>
          <w:szCs w:val="32"/>
        </w:rPr>
        <w:t>件，</w:t>
      </w:r>
      <w:r w:rsidR="004C4FEB" w:rsidRPr="00A97415">
        <w:rPr>
          <w:rFonts w:ascii="仿宋" w:eastAsia="仿宋" w:hAnsi="仿宋" w:hint="eastAsia"/>
          <w:sz w:val="32"/>
          <w:szCs w:val="32"/>
        </w:rPr>
        <w:t>与去年同期相比，同比减少</w:t>
      </w:r>
      <w:r w:rsidR="00EB564C" w:rsidRPr="00A97415">
        <w:rPr>
          <w:rFonts w:ascii="仿宋" w:eastAsia="仿宋" w:hAnsi="仿宋" w:hint="eastAsia"/>
          <w:sz w:val="32"/>
          <w:szCs w:val="32"/>
        </w:rPr>
        <w:t>6件，下降</w:t>
      </w:r>
      <w:r w:rsidR="005C6079" w:rsidRPr="00A97415">
        <w:rPr>
          <w:rFonts w:ascii="仿宋" w:eastAsia="仿宋" w:hAnsi="仿宋" w:hint="eastAsia"/>
          <w:sz w:val="32"/>
          <w:szCs w:val="32"/>
        </w:rPr>
        <w:t>20.00</w:t>
      </w:r>
      <w:r w:rsidRPr="00A97415">
        <w:rPr>
          <w:rFonts w:ascii="仿宋" w:eastAsia="仿宋" w:hAnsi="仿宋" w:hint="eastAsia"/>
          <w:sz w:val="32"/>
          <w:szCs w:val="32"/>
        </w:rPr>
        <w:t>%。</w:t>
      </w:r>
    </w:p>
    <w:p w:rsidR="006443A1" w:rsidRPr="00A97415" w:rsidRDefault="006443A1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A97415">
        <w:rPr>
          <w:rFonts w:ascii="黑体" w:eastAsia="黑体" w:hAnsi="黑体" w:hint="eastAsia"/>
          <w:sz w:val="32"/>
          <w:szCs w:val="32"/>
        </w:rPr>
        <w:t>（一）审结诉讼案件类型分布情况</w:t>
      </w:r>
    </w:p>
    <w:p w:rsidR="006443A1" w:rsidRPr="00A97415" w:rsidRDefault="006443A1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color w:val="FF0000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审结诉讼案件</w:t>
      </w:r>
      <w:r w:rsidR="00EB564C" w:rsidRPr="00A97415">
        <w:rPr>
          <w:rFonts w:ascii="仿宋" w:eastAsia="仿宋" w:hAnsi="仿宋" w:hint="eastAsia"/>
          <w:sz w:val="32"/>
          <w:szCs w:val="32"/>
        </w:rPr>
        <w:t>24</w:t>
      </w:r>
      <w:r w:rsidRPr="00A97415">
        <w:rPr>
          <w:rFonts w:ascii="仿宋" w:eastAsia="仿宋" w:hAnsi="仿宋" w:hint="eastAsia"/>
          <w:sz w:val="32"/>
          <w:szCs w:val="32"/>
        </w:rPr>
        <w:t>件，其中，刑事</w:t>
      </w:r>
      <w:r w:rsidR="00EB564C" w:rsidRPr="00A97415">
        <w:rPr>
          <w:rFonts w:ascii="仿宋" w:eastAsia="仿宋" w:hAnsi="仿宋" w:hint="eastAsia"/>
          <w:sz w:val="32"/>
          <w:szCs w:val="32"/>
        </w:rPr>
        <w:t>12</w:t>
      </w:r>
      <w:r w:rsidRPr="00A97415">
        <w:rPr>
          <w:rFonts w:ascii="仿宋" w:eastAsia="仿宋" w:hAnsi="仿宋" w:hint="eastAsia"/>
          <w:sz w:val="32"/>
          <w:szCs w:val="32"/>
        </w:rPr>
        <w:t>件，占比</w:t>
      </w:r>
      <w:r w:rsidR="00E33C07" w:rsidRPr="00A97415">
        <w:rPr>
          <w:rFonts w:ascii="仿宋" w:eastAsia="仿宋" w:hAnsi="仿宋" w:hint="eastAsia"/>
          <w:sz w:val="32"/>
          <w:szCs w:val="32"/>
        </w:rPr>
        <w:t>50.00</w:t>
      </w:r>
      <w:r w:rsidRPr="00A97415">
        <w:rPr>
          <w:rFonts w:ascii="仿宋" w:eastAsia="仿宋" w:hAnsi="仿宋" w:hint="eastAsia"/>
          <w:sz w:val="32"/>
          <w:szCs w:val="32"/>
        </w:rPr>
        <w:t>%；民事</w:t>
      </w:r>
      <w:r w:rsidR="00E33C07" w:rsidRPr="00A97415">
        <w:rPr>
          <w:rFonts w:ascii="仿宋" w:eastAsia="仿宋" w:hAnsi="仿宋" w:hint="eastAsia"/>
          <w:sz w:val="32"/>
          <w:szCs w:val="32"/>
        </w:rPr>
        <w:t>12</w:t>
      </w:r>
      <w:r w:rsidRPr="00A97415">
        <w:rPr>
          <w:rFonts w:ascii="仿宋" w:eastAsia="仿宋" w:hAnsi="仿宋" w:hint="eastAsia"/>
          <w:sz w:val="32"/>
          <w:szCs w:val="32"/>
        </w:rPr>
        <w:t>件，占比</w:t>
      </w:r>
      <w:r w:rsidR="00E33C07" w:rsidRPr="00A97415">
        <w:rPr>
          <w:rFonts w:ascii="仿宋" w:eastAsia="仿宋" w:hAnsi="仿宋" w:hint="eastAsia"/>
          <w:sz w:val="32"/>
          <w:szCs w:val="32"/>
        </w:rPr>
        <w:t>50.00</w:t>
      </w:r>
      <w:r w:rsidRPr="00A97415">
        <w:rPr>
          <w:rFonts w:ascii="仿宋" w:eastAsia="仿宋" w:hAnsi="仿宋" w:hint="eastAsia"/>
          <w:sz w:val="32"/>
          <w:szCs w:val="32"/>
        </w:rPr>
        <w:t>%，行政0件，</w:t>
      </w:r>
      <w:r w:rsidR="00D45790" w:rsidRPr="00A97415">
        <w:rPr>
          <w:rFonts w:ascii="仿宋" w:eastAsia="仿宋" w:hAnsi="仿宋" w:hint="eastAsia"/>
          <w:sz w:val="32"/>
          <w:szCs w:val="32"/>
        </w:rPr>
        <w:t>占比持平</w:t>
      </w:r>
      <w:r w:rsidR="004C7156" w:rsidRPr="00A97415">
        <w:rPr>
          <w:rFonts w:ascii="仿宋" w:eastAsia="仿宋" w:hAnsi="仿宋" w:hint="eastAsia"/>
          <w:sz w:val="32"/>
          <w:szCs w:val="32"/>
        </w:rPr>
        <w:t>。</w:t>
      </w:r>
    </w:p>
    <w:p w:rsidR="006443A1" w:rsidRPr="00A97415" w:rsidRDefault="006443A1" w:rsidP="00161267">
      <w:pPr>
        <w:spacing w:after="0" w:line="220" w:lineRule="atLeast"/>
        <w:jc w:val="both"/>
        <w:rPr>
          <w:rFonts w:ascii="黑体" w:eastAsia="黑体" w:hAnsi="黑体"/>
          <w:sz w:val="32"/>
          <w:szCs w:val="32"/>
        </w:rPr>
      </w:pPr>
      <w:r w:rsidRPr="009B3704">
        <w:rPr>
          <w:rFonts w:asciiTheme="minorEastAsia" w:eastAsiaTheme="minorEastAsia" w:hAnsiTheme="minorEastAsia"/>
          <w:color w:val="7030A0"/>
          <w:sz w:val="32"/>
          <w:szCs w:val="32"/>
        </w:rPr>
        <w:t xml:space="preserve"> </w:t>
      </w:r>
      <w:r w:rsidR="00325949">
        <w:rPr>
          <w:rFonts w:asciiTheme="minorEastAsia" w:eastAsiaTheme="minorEastAsia" w:hAnsiTheme="minorEastAsia" w:hint="eastAsia"/>
          <w:color w:val="7030A0"/>
          <w:sz w:val="32"/>
          <w:szCs w:val="32"/>
        </w:rPr>
        <w:t xml:space="preserve">   </w:t>
      </w:r>
      <w:r w:rsidR="00325949" w:rsidRPr="00A97415">
        <w:rPr>
          <w:rFonts w:ascii="黑体" w:eastAsia="黑体" w:hAnsi="黑体" w:hint="eastAsia"/>
          <w:sz w:val="32"/>
          <w:szCs w:val="32"/>
        </w:rPr>
        <w:t xml:space="preserve"> </w:t>
      </w:r>
      <w:r w:rsidRPr="00A97415">
        <w:rPr>
          <w:rFonts w:ascii="黑体" w:eastAsia="黑体" w:hAnsi="黑体" w:hint="eastAsia"/>
          <w:sz w:val="32"/>
          <w:szCs w:val="32"/>
        </w:rPr>
        <w:t>(二</w:t>
      </w:r>
      <w:r w:rsidR="00710EB2" w:rsidRPr="00A97415">
        <w:rPr>
          <w:rFonts w:ascii="黑体" w:eastAsia="黑体" w:hAnsi="黑体" w:hint="eastAsia"/>
          <w:sz w:val="32"/>
          <w:szCs w:val="32"/>
        </w:rPr>
        <w:t>)</w:t>
      </w:r>
      <w:r w:rsidRPr="00A97415">
        <w:rPr>
          <w:rFonts w:ascii="黑体" w:eastAsia="黑体" w:hAnsi="黑体" w:hint="eastAsia"/>
          <w:sz w:val="32"/>
          <w:szCs w:val="32"/>
        </w:rPr>
        <w:t>审结案件的案由、罪名情况</w:t>
      </w:r>
    </w:p>
    <w:p w:rsidR="006443A1" w:rsidRPr="00A97415" w:rsidRDefault="006443A1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color w:val="7030A0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审结民事案件中，数量最多、占比最大的</w:t>
      </w:r>
      <w:r w:rsidR="008D106C" w:rsidRPr="00A97415">
        <w:rPr>
          <w:rFonts w:ascii="仿宋" w:eastAsia="仿宋" w:hAnsi="仿宋" w:hint="eastAsia"/>
          <w:color w:val="7030A0"/>
          <w:sz w:val="32"/>
          <w:szCs w:val="32"/>
        </w:rPr>
        <w:t>2</w:t>
      </w:r>
      <w:r w:rsidRPr="00A97415">
        <w:rPr>
          <w:rFonts w:ascii="仿宋" w:eastAsia="仿宋" w:hAnsi="仿宋" w:hint="eastAsia"/>
          <w:sz w:val="32"/>
          <w:szCs w:val="32"/>
        </w:rPr>
        <w:t>个案由（不区分案由级别）分别是</w:t>
      </w:r>
      <w:r w:rsidR="008D106C" w:rsidRPr="00A97415">
        <w:rPr>
          <w:rFonts w:ascii="仿宋" w:eastAsia="仿宋" w:hAnsi="仿宋" w:hint="eastAsia"/>
          <w:sz w:val="32"/>
          <w:szCs w:val="32"/>
        </w:rPr>
        <w:t>林业承包合同纠纷4件，</w:t>
      </w:r>
      <w:r w:rsidRPr="00A97415">
        <w:rPr>
          <w:rFonts w:ascii="仿宋" w:eastAsia="仿宋" w:hAnsi="仿宋" w:hint="eastAsia"/>
          <w:sz w:val="32"/>
          <w:szCs w:val="32"/>
        </w:rPr>
        <w:t>民间借贷纠纷</w:t>
      </w:r>
      <w:r w:rsidR="008D106C" w:rsidRPr="00A97415">
        <w:rPr>
          <w:rFonts w:ascii="仿宋" w:eastAsia="仿宋" w:hAnsi="仿宋" w:hint="eastAsia"/>
          <w:sz w:val="32"/>
          <w:szCs w:val="32"/>
        </w:rPr>
        <w:t>3</w:t>
      </w:r>
      <w:r w:rsidRPr="00A97415">
        <w:rPr>
          <w:rFonts w:ascii="仿宋" w:eastAsia="仿宋" w:hAnsi="仿宋" w:hint="eastAsia"/>
          <w:sz w:val="32"/>
          <w:szCs w:val="32"/>
        </w:rPr>
        <w:t>件，分别占全部民事审结案件数</w:t>
      </w:r>
      <w:r w:rsidR="008D106C" w:rsidRPr="00A97415">
        <w:rPr>
          <w:rFonts w:ascii="仿宋" w:eastAsia="仿宋" w:hAnsi="仿宋" w:hint="eastAsia"/>
          <w:sz w:val="32"/>
          <w:szCs w:val="32"/>
        </w:rPr>
        <w:t>12</w:t>
      </w:r>
      <w:r w:rsidRPr="00A97415">
        <w:rPr>
          <w:rFonts w:ascii="仿宋" w:eastAsia="仿宋" w:hAnsi="仿宋" w:hint="eastAsia"/>
          <w:sz w:val="32"/>
          <w:szCs w:val="32"/>
        </w:rPr>
        <w:t>件的</w:t>
      </w:r>
      <w:r w:rsidR="00035255" w:rsidRPr="00A97415">
        <w:rPr>
          <w:rFonts w:ascii="仿宋" w:eastAsia="仿宋" w:hAnsi="仿宋" w:hint="eastAsia"/>
          <w:sz w:val="32"/>
          <w:szCs w:val="32"/>
        </w:rPr>
        <w:t>33.33</w:t>
      </w:r>
      <w:r w:rsidRPr="00A97415">
        <w:rPr>
          <w:rFonts w:ascii="仿宋" w:eastAsia="仿宋" w:hAnsi="仿宋" w:hint="eastAsia"/>
          <w:sz w:val="32"/>
          <w:szCs w:val="32"/>
        </w:rPr>
        <w:t>%、</w:t>
      </w:r>
      <w:r w:rsidR="00035255" w:rsidRPr="00A97415">
        <w:rPr>
          <w:rFonts w:ascii="仿宋" w:eastAsia="仿宋" w:hAnsi="仿宋" w:hint="eastAsia"/>
          <w:sz w:val="32"/>
          <w:szCs w:val="32"/>
        </w:rPr>
        <w:t>25.00</w:t>
      </w:r>
      <w:r w:rsidRPr="00A97415">
        <w:rPr>
          <w:rFonts w:ascii="仿宋" w:eastAsia="仿宋" w:hAnsi="仿宋" w:hint="eastAsia"/>
          <w:sz w:val="32"/>
          <w:szCs w:val="32"/>
        </w:rPr>
        <w:t>%。</w:t>
      </w:r>
    </w:p>
    <w:p w:rsidR="006443A1" w:rsidRPr="00A97415" w:rsidRDefault="006443A1" w:rsidP="00161267">
      <w:pPr>
        <w:spacing w:after="0" w:line="220" w:lineRule="atLeast"/>
        <w:jc w:val="both"/>
        <w:rPr>
          <w:rFonts w:ascii="仿宋" w:eastAsia="仿宋" w:hAnsi="仿宋"/>
          <w:color w:val="7030A0"/>
          <w:sz w:val="32"/>
          <w:szCs w:val="32"/>
        </w:rPr>
      </w:pPr>
      <w:r w:rsidRPr="00A97415">
        <w:rPr>
          <w:rFonts w:ascii="仿宋" w:eastAsia="仿宋" w:hAnsi="仿宋"/>
          <w:color w:val="7030A0"/>
          <w:sz w:val="32"/>
          <w:szCs w:val="32"/>
        </w:rPr>
        <w:t xml:space="preserve"> </w:t>
      </w:r>
      <w:r w:rsidR="008D106C" w:rsidRPr="00A97415">
        <w:rPr>
          <w:rFonts w:ascii="仿宋" w:eastAsia="仿宋" w:hAnsi="仿宋" w:hint="eastAsia"/>
          <w:color w:val="7030A0"/>
          <w:sz w:val="32"/>
          <w:szCs w:val="32"/>
        </w:rPr>
        <w:t xml:space="preserve"> </w:t>
      </w:r>
      <w:r w:rsidR="00DD4EF4" w:rsidRPr="00A97415">
        <w:rPr>
          <w:rFonts w:ascii="仿宋" w:eastAsia="仿宋" w:hAnsi="仿宋" w:hint="eastAsia"/>
          <w:color w:val="7030A0"/>
          <w:sz w:val="32"/>
          <w:szCs w:val="32"/>
        </w:rPr>
        <w:t xml:space="preserve">  </w:t>
      </w:r>
      <w:r w:rsidRPr="00A97415">
        <w:rPr>
          <w:rFonts w:ascii="仿宋" w:eastAsia="仿宋" w:hAnsi="仿宋" w:hint="eastAsia"/>
          <w:sz w:val="32"/>
          <w:szCs w:val="32"/>
        </w:rPr>
        <w:t>审结刑事案件中，数量最多、占比最大的</w:t>
      </w:r>
      <w:r w:rsidR="008D106C" w:rsidRPr="00A97415">
        <w:rPr>
          <w:rFonts w:ascii="仿宋" w:eastAsia="仿宋" w:hAnsi="仿宋" w:hint="eastAsia"/>
          <w:sz w:val="32"/>
          <w:szCs w:val="32"/>
        </w:rPr>
        <w:t>2</w:t>
      </w:r>
      <w:r w:rsidRPr="00A97415">
        <w:rPr>
          <w:rFonts w:ascii="仿宋" w:eastAsia="仿宋" w:hAnsi="仿宋" w:hint="eastAsia"/>
          <w:sz w:val="32"/>
          <w:szCs w:val="32"/>
        </w:rPr>
        <w:t>个罪名分别是</w:t>
      </w:r>
      <w:r w:rsidR="00237430" w:rsidRPr="00A97415">
        <w:rPr>
          <w:rFonts w:ascii="仿宋" w:eastAsia="仿宋" w:hAnsi="仿宋" w:hint="eastAsia"/>
          <w:sz w:val="32"/>
          <w:szCs w:val="32"/>
        </w:rPr>
        <w:t>盗伐林木罪6件，非法采伐、毁坏国家重点保护植物罪3件，</w:t>
      </w:r>
      <w:r w:rsidRPr="00A97415">
        <w:rPr>
          <w:rFonts w:ascii="仿宋" w:eastAsia="仿宋" w:hAnsi="仿宋" w:hint="eastAsia"/>
          <w:sz w:val="32"/>
          <w:szCs w:val="32"/>
        </w:rPr>
        <w:t>分别占刑事审结案件数</w:t>
      </w:r>
      <w:r w:rsidR="00237430" w:rsidRPr="00A97415">
        <w:rPr>
          <w:rFonts w:ascii="仿宋" w:eastAsia="仿宋" w:hAnsi="仿宋" w:hint="eastAsia"/>
          <w:sz w:val="32"/>
          <w:szCs w:val="32"/>
        </w:rPr>
        <w:t>12件</w:t>
      </w:r>
      <w:r w:rsidRPr="00A97415">
        <w:rPr>
          <w:rFonts w:ascii="仿宋" w:eastAsia="仿宋" w:hAnsi="仿宋" w:hint="eastAsia"/>
          <w:sz w:val="32"/>
          <w:szCs w:val="32"/>
        </w:rPr>
        <w:t>的</w:t>
      </w:r>
      <w:r w:rsidR="00677363" w:rsidRPr="00A97415">
        <w:rPr>
          <w:rFonts w:ascii="仿宋" w:eastAsia="仿宋" w:hAnsi="仿宋" w:hint="eastAsia"/>
          <w:sz w:val="32"/>
          <w:szCs w:val="32"/>
        </w:rPr>
        <w:t>50.00</w:t>
      </w:r>
      <w:r w:rsidRPr="00A97415">
        <w:rPr>
          <w:rFonts w:ascii="仿宋" w:eastAsia="仿宋" w:hAnsi="仿宋" w:hint="eastAsia"/>
          <w:sz w:val="32"/>
          <w:szCs w:val="32"/>
        </w:rPr>
        <w:t>%、</w:t>
      </w:r>
      <w:r w:rsidR="00677363" w:rsidRPr="00A97415">
        <w:rPr>
          <w:rFonts w:ascii="仿宋" w:eastAsia="仿宋" w:hAnsi="仿宋" w:hint="eastAsia"/>
          <w:sz w:val="32"/>
          <w:szCs w:val="32"/>
        </w:rPr>
        <w:t>25.00</w:t>
      </w:r>
      <w:r w:rsidRPr="00A97415">
        <w:rPr>
          <w:rFonts w:ascii="仿宋" w:eastAsia="仿宋" w:hAnsi="仿宋" w:hint="eastAsia"/>
          <w:sz w:val="32"/>
          <w:szCs w:val="32"/>
        </w:rPr>
        <w:t>%。</w:t>
      </w:r>
    </w:p>
    <w:p w:rsidR="006443A1" w:rsidRPr="00A97415" w:rsidRDefault="00237430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A97415">
        <w:rPr>
          <w:rFonts w:ascii="黑体" w:eastAsia="黑体" w:hAnsi="黑体" w:hint="eastAsia"/>
          <w:sz w:val="32"/>
          <w:szCs w:val="32"/>
        </w:rPr>
        <w:t>（三</w:t>
      </w:r>
      <w:r w:rsidR="006443A1" w:rsidRPr="00A97415">
        <w:rPr>
          <w:rFonts w:ascii="黑体" w:eastAsia="黑体" w:hAnsi="黑体" w:hint="eastAsia"/>
          <w:sz w:val="32"/>
          <w:szCs w:val="32"/>
        </w:rPr>
        <w:t>）法定（正常）审限内结案率情况</w:t>
      </w:r>
    </w:p>
    <w:p w:rsidR="006443A1" w:rsidRPr="00A97415" w:rsidRDefault="00237430" w:rsidP="002A7582">
      <w:pPr>
        <w:spacing w:after="0" w:line="220" w:lineRule="atLeast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1-3月，</w:t>
      </w:r>
      <w:r w:rsidR="006443A1" w:rsidRPr="00A97415">
        <w:rPr>
          <w:rFonts w:ascii="仿宋" w:eastAsia="仿宋" w:hAnsi="仿宋" w:hint="eastAsia"/>
          <w:sz w:val="32"/>
          <w:szCs w:val="32"/>
        </w:rPr>
        <w:t>法定（正常）审限内结案率100%。</w:t>
      </w:r>
    </w:p>
    <w:p w:rsidR="006443A1" w:rsidRPr="00A97415" w:rsidRDefault="00237430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A97415">
        <w:rPr>
          <w:rFonts w:ascii="黑体" w:eastAsia="黑体" w:hAnsi="黑体" w:hint="eastAsia"/>
          <w:sz w:val="32"/>
          <w:szCs w:val="32"/>
        </w:rPr>
        <w:t>（四</w:t>
      </w:r>
      <w:r w:rsidR="006443A1" w:rsidRPr="00A97415">
        <w:rPr>
          <w:rFonts w:ascii="黑体" w:eastAsia="黑体" w:hAnsi="黑体" w:hint="eastAsia"/>
          <w:sz w:val="32"/>
          <w:szCs w:val="32"/>
        </w:rPr>
        <w:t>）诉讼案件结收比情况统计</w:t>
      </w:r>
    </w:p>
    <w:p w:rsidR="006443A1" w:rsidRPr="00A97415" w:rsidRDefault="00F0658C" w:rsidP="002A7582">
      <w:pPr>
        <w:spacing w:after="0" w:line="220" w:lineRule="atLeast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1</w:t>
      </w:r>
      <w:r w:rsidR="00726099" w:rsidRPr="00A97415">
        <w:rPr>
          <w:rFonts w:ascii="仿宋" w:eastAsia="仿宋" w:hAnsi="仿宋" w:hint="eastAsia"/>
          <w:sz w:val="32"/>
          <w:szCs w:val="32"/>
        </w:rPr>
        <w:t>月</w:t>
      </w:r>
      <w:r w:rsidR="006443A1" w:rsidRPr="00A97415">
        <w:rPr>
          <w:rFonts w:ascii="仿宋" w:eastAsia="仿宋" w:hAnsi="仿宋" w:hint="eastAsia"/>
          <w:sz w:val="32"/>
          <w:szCs w:val="32"/>
        </w:rPr>
        <w:t>结收比为</w:t>
      </w:r>
      <w:r w:rsidRPr="00A97415">
        <w:rPr>
          <w:rFonts w:ascii="仿宋" w:eastAsia="仿宋" w:hAnsi="仿宋" w:hint="eastAsia"/>
          <w:sz w:val="32"/>
          <w:szCs w:val="32"/>
        </w:rPr>
        <w:t>100</w:t>
      </w:r>
      <w:r w:rsidR="006443A1" w:rsidRPr="00A97415">
        <w:rPr>
          <w:rFonts w:ascii="仿宋" w:eastAsia="仿宋" w:hAnsi="仿宋" w:hint="eastAsia"/>
          <w:sz w:val="32"/>
          <w:szCs w:val="32"/>
        </w:rPr>
        <w:t>%</w:t>
      </w:r>
      <w:r w:rsidRPr="00A97415">
        <w:rPr>
          <w:rFonts w:ascii="仿宋" w:eastAsia="仿宋" w:hAnsi="仿宋" w:hint="eastAsia"/>
          <w:sz w:val="32"/>
          <w:szCs w:val="32"/>
        </w:rPr>
        <w:t>；2月份结收比47.36%；</w:t>
      </w:r>
      <w:r w:rsidR="003F3F19" w:rsidRPr="00A97415">
        <w:rPr>
          <w:rFonts w:ascii="仿宋" w:eastAsia="仿宋" w:hAnsi="仿宋" w:hint="eastAsia"/>
          <w:sz w:val="32"/>
          <w:szCs w:val="32"/>
        </w:rPr>
        <w:t>3月</w:t>
      </w:r>
      <w:r w:rsidRPr="00A97415">
        <w:rPr>
          <w:rFonts w:ascii="仿宋" w:eastAsia="仿宋" w:hAnsi="仿宋" w:hint="eastAsia"/>
          <w:sz w:val="32"/>
          <w:szCs w:val="32"/>
        </w:rPr>
        <w:t>份</w:t>
      </w:r>
      <w:r w:rsidR="003F3F19" w:rsidRPr="00A97415">
        <w:rPr>
          <w:rFonts w:ascii="仿宋" w:eastAsia="仿宋" w:hAnsi="仿宋" w:hint="eastAsia"/>
          <w:sz w:val="32"/>
          <w:szCs w:val="32"/>
        </w:rPr>
        <w:t>结收比</w:t>
      </w:r>
      <w:r w:rsidRPr="00A97415">
        <w:rPr>
          <w:rFonts w:ascii="仿宋" w:eastAsia="仿宋" w:hAnsi="仿宋" w:hint="eastAsia"/>
          <w:sz w:val="32"/>
          <w:szCs w:val="32"/>
        </w:rPr>
        <w:t>90.9</w:t>
      </w:r>
      <w:r w:rsidR="008F7122" w:rsidRPr="00A97415">
        <w:rPr>
          <w:rFonts w:ascii="仿宋" w:eastAsia="仿宋" w:hAnsi="仿宋" w:hint="eastAsia"/>
          <w:sz w:val="32"/>
          <w:szCs w:val="32"/>
        </w:rPr>
        <w:t>0%。</w:t>
      </w:r>
    </w:p>
    <w:p w:rsidR="006443A1" w:rsidRPr="00A97415" w:rsidRDefault="008F7122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A97415">
        <w:rPr>
          <w:rFonts w:ascii="黑体" w:eastAsia="黑体" w:hAnsi="黑体" w:hint="eastAsia"/>
          <w:sz w:val="32"/>
          <w:szCs w:val="32"/>
        </w:rPr>
        <w:t>（五</w:t>
      </w:r>
      <w:r w:rsidR="006443A1" w:rsidRPr="00A97415">
        <w:rPr>
          <w:rFonts w:ascii="黑体" w:eastAsia="黑体" w:hAnsi="黑体" w:hint="eastAsia"/>
          <w:sz w:val="32"/>
          <w:szCs w:val="32"/>
        </w:rPr>
        <w:t>）简易程序适用率情况</w:t>
      </w:r>
    </w:p>
    <w:p w:rsidR="006443A1" w:rsidRPr="00A97415" w:rsidRDefault="008F7122" w:rsidP="00E80805">
      <w:pPr>
        <w:spacing w:after="0" w:line="220" w:lineRule="atLeast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1-3月</w:t>
      </w:r>
      <w:r w:rsidR="006443A1" w:rsidRPr="00A97415">
        <w:rPr>
          <w:rFonts w:ascii="仿宋" w:eastAsia="仿宋" w:hAnsi="仿宋" w:hint="eastAsia"/>
          <w:sz w:val="32"/>
          <w:szCs w:val="32"/>
        </w:rPr>
        <w:t>一审简易程序适用率</w:t>
      </w:r>
      <w:r w:rsidR="00630915" w:rsidRPr="00A97415">
        <w:rPr>
          <w:rFonts w:ascii="仿宋" w:eastAsia="仿宋" w:hAnsi="仿宋" w:hint="eastAsia"/>
          <w:sz w:val="32"/>
          <w:szCs w:val="32"/>
        </w:rPr>
        <w:t>86.36</w:t>
      </w:r>
      <w:r w:rsidR="006443A1" w:rsidRPr="00A97415">
        <w:rPr>
          <w:rFonts w:ascii="仿宋" w:eastAsia="仿宋" w:hAnsi="仿宋" w:hint="eastAsia"/>
          <w:sz w:val="32"/>
          <w:szCs w:val="32"/>
        </w:rPr>
        <w:t>%</w:t>
      </w:r>
      <w:r w:rsidR="00494BE7" w:rsidRPr="00A97415">
        <w:rPr>
          <w:rFonts w:ascii="仿宋" w:eastAsia="仿宋" w:hAnsi="仿宋" w:hint="eastAsia"/>
          <w:sz w:val="32"/>
          <w:szCs w:val="32"/>
        </w:rPr>
        <w:t>，同比</w:t>
      </w:r>
      <w:r w:rsidR="00630915" w:rsidRPr="00A97415">
        <w:rPr>
          <w:rFonts w:ascii="仿宋" w:eastAsia="仿宋" w:hAnsi="仿宋" w:hint="eastAsia"/>
          <w:sz w:val="32"/>
          <w:szCs w:val="32"/>
        </w:rPr>
        <w:t>（79.31%）</w:t>
      </w:r>
      <w:r w:rsidR="00494BE7" w:rsidRPr="00A97415">
        <w:rPr>
          <w:rFonts w:ascii="仿宋" w:eastAsia="仿宋" w:hAnsi="仿宋" w:hint="eastAsia"/>
          <w:sz w:val="32"/>
          <w:szCs w:val="32"/>
        </w:rPr>
        <w:t>上升</w:t>
      </w:r>
      <w:r w:rsidR="00630915" w:rsidRPr="00A97415">
        <w:rPr>
          <w:rFonts w:ascii="仿宋" w:eastAsia="仿宋" w:hAnsi="仿宋" w:hint="eastAsia"/>
          <w:sz w:val="32"/>
          <w:szCs w:val="32"/>
        </w:rPr>
        <w:t>7.05</w:t>
      </w:r>
      <w:r w:rsidRPr="00A97415">
        <w:rPr>
          <w:rFonts w:ascii="仿宋" w:eastAsia="仿宋" w:hAnsi="仿宋" w:hint="eastAsia"/>
          <w:sz w:val="32"/>
          <w:szCs w:val="32"/>
        </w:rPr>
        <w:t>个百分点。</w:t>
      </w:r>
    </w:p>
    <w:p w:rsidR="00630915" w:rsidRPr="00A97415" w:rsidRDefault="00630915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刑事一审简易程序适用率91.67</w:t>
      </w:r>
      <w:r w:rsidR="00C85621" w:rsidRPr="00A97415">
        <w:rPr>
          <w:rFonts w:ascii="仿宋" w:eastAsia="仿宋" w:hAnsi="仿宋" w:hint="eastAsia"/>
          <w:sz w:val="32"/>
          <w:szCs w:val="32"/>
        </w:rPr>
        <w:t>%。</w:t>
      </w:r>
    </w:p>
    <w:p w:rsidR="00C85621" w:rsidRPr="00A97415" w:rsidRDefault="00C85621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民事一审简易程序适用率80.00%。</w:t>
      </w:r>
    </w:p>
    <w:p w:rsidR="006443A1" w:rsidRPr="00A97415" w:rsidRDefault="008F7122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A97415">
        <w:rPr>
          <w:rFonts w:ascii="黑体" w:eastAsia="黑体" w:hAnsi="黑体" w:hint="eastAsia"/>
          <w:sz w:val="32"/>
          <w:szCs w:val="32"/>
        </w:rPr>
        <w:t>（六</w:t>
      </w:r>
      <w:r w:rsidR="006443A1" w:rsidRPr="00A97415">
        <w:rPr>
          <w:rFonts w:ascii="黑体" w:eastAsia="黑体" w:hAnsi="黑体" w:hint="eastAsia"/>
          <w:sz w:val="32"/>
          <w:szCs w:val="32"/>
        </w:rPr>
        <w:t>）服判息诉率情况</w:t>
      </w:r>
    </w:p>
    <w:p w:rsidR="006443A1" w:rsidRPr="00A97415" w:rsidRDefault="008F7122" w:rsidP="00E966B6">
      <w:pPr>
        <w:spacing w:after="0" w:line="220" w:lineRule="atLeast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1-3月珲春林区基层</w:t>
      </w:r>
      <w:r w:rsidR="006443A1" w:rsidRPr="00A97415">
        <w:rPr>
          <w:rFonts w:ascii="仿宋" w:eastAsia="仿宋" w:hAnsi="仿宋" w:hint="eastAsia"/>
          <w:sz w:val="32"/>
          <w:szCs w:val="32"/>
        </w:rPr>
        <w:t>法院一审案件服判息诉率</w:t>
      </w:r>
      <w:r w:rsidR="005A0BF9" w:rsidRPr="00A97415">
        <w:rPr>
          <w:rFonts w:ascii="仿宋" w:eastAsia="仿宋" w:hAnsi="仿宋" w:hint="eastAsia"/>
          <w:sz w:val="32"/>
          <w:szCs w:val="32"/>
        </w:rPr>
        <w:t>95.46</w:t>
      </w:r>
      <w:r w:rsidR="006443A1" w:rsidRPr="00A97415">
        <w:rPr>
          <w:rFonts w:ascii="仿宋" w:eastAsia="仿宋" w:hAnsi="仿宋" w:hint="eastAsia"/>
          <w:sz w:val="32"/>
          <w:szCs w:val="32"/>
        </w:rPr>
        <w:t>%，同比</w:t>
      </w:r>
      <w:r w:rsidR="005A0BF9" w:rsidRPr="00A97415">
        <w:rPr>
          <w:rFonts w:ascii="仿宋" w:eastAsia="仿宋" w:hAnsi="仿宋" w:hint="eastAsia"/>
          <w:sz w:val="32"/>
          <w:szCs w:val="32"/>
        </w:rPr>
        <w:t>（89.66%）上升5.8</w:t>
      </w:r>
      <w:r w:rsidR="00DE75FA" w:rsidRPr="00A97415">
        <w:rPr>
          <w:rFonts w:ascii="仿宋" w:eastAsia="仿宋" w:hAnsi="仿宋" w:hint="eastAsia"/>
          <w:sz w:val="32"/>
          <w:szCs w:val="32"/>
        </w:rPr>
        <w:t>个百分点。</w:t>
      </w:r>
    </w:p>
    <w:p w:rsidR="00811191" w:rsidRDefault="00811191" w:rsidP="00A97415">
      <w:pPr>
        <w:spacing w:after="0" w:line="220" w:lineRule="atLeast"/>
        <w:ind w:firstLineChars="450" w:firstLine="1446"/>
        <w:jc w:val="both"/>
        <w:rPr>
          <w:rFonts w:ascii="仿宋" w:eastAsia="仿宋" w:hAnsi="仿宋"/>
          <w:b/>
          <w:sz w:val="32"/>
          <w:szCs w:val="32"/>
        </w:rPr>
      </w:pPr>
    </w:p>
    <w:p w:rsidR="006443A1" w:rsidRPr="00A97415" w:rsidRDefault="00DE75FA" w:rsidP="00A97415">
      <w:pPr>
        <w:spacing w:after="0" w:line="220" w:lineRule="atLeast"/>
        <w:ind w:firstLineChars="450" w:firstLine="1446"/>
        <w:jc w:val="both"/>
        <w:rPr>
          <w:rFonts w:ascii="仿宋" w:eastAsia="仿宋" w:hAnsi="仿宋"/>
          <w:b/>
          <w:sz w:val="32"/>
          <w:szCs w:val="32"/>
        </w:rPr>
      </w:pPr>
      <w:r w:rsidRPr="00A97415">
        <w:rPr>
          <w:rFonts w:ascii="仿宋" w:eastAsia="仿宋" w:hAnsi="仿宋" w:hint="eastAsia"/>
          <w:b/>
          <w:sz w:val="32"/>
          <w:szCs w:val="32"/>
        </w:rPr>
        <w:t>2019</w:t>
      </w:r>
      <w:r w:rsidR="006443A1" w:rsidRPr="00A97415">
        <w:rPr>
          <w:rFonts w:ascii="仿宋" w:eastAsia="仿宋" w:hAnsi="仿宋" w:hint="eastAsia"/>
          <w:b/>
          <w:sz w:val="32"/>
          <w:szCs w:val="32"/>
        </w:rPr>
        <w:t>年</w:t>
      </w:r>
      <w:r w:rsidRPr="00A97415">
        <w:rPr>
          <w:rFonts w:ascii="仿宋" w:eastAsia="仿宋" w:hAnsi="仿宋" w:hint="eastAsia"/>
          <w:b/>
          <w:sz w:val="32"/>
          <w:szCs w:val="32"/>
        </w:rPr>
        <w:t>1-3月一审服判息诉率统计表</w:t>
      </w:r>
    </w:p>
    <w:tbl>
      <w:tblPr>
        <w:tblStyle w:val="a7"/>
        <w:tblW w:w="0" w:type="auto"/>
        <w:jc w:val="center"/>
        <w:tblLook w:val="04A0"/>
      </w:tblPr>
      <w:tblGrid>
        <w:gridCol w:w="2760"/>
        <w:gridCol w:w="2761"/>
        <w:gridCol w:w="2761"/>
      </w:tblGrid>
      <w:tr w:rsidR="00B25FDC" w:rsidRPr="00B25FDC" w:rsidTr="00B25FDC">
        <w:trPr>
          <w:trHeight w:val="319"/>
          <w:jc w:val="center"/>
        </w:trPr>
        <w:tc>
          <w:tcPr>
            <w:tcW w:w="2760" w:type="dxa"/>
          </w:tcPr>
          <w:p w:rsidR="00B25FDC" w:rsidRPr="00B25FDC" w:rsidRDefault="00B25FDC" w:rsidP="000E2918">
            <w:pPr>
              <w:spacing w:line="220" w:lineRule="atLeast"/>
              <w:ind w:firstLineChars="100" w:firstLine="320"/>
              <w:jc w:val="both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 w:hint="eastAsia"/>
                <w:sz w:val="32"/>
                <w:szCs w:val="32"/>
              </w:rPr>
              <w:t>一审结案数</w:t>
            </w:r>
          </w:p>
        </w:tc>
        <w:tc>
          <w:tcPr>
            <w:tcW w:w="2761" w:type="dxa"/>
          </w:tcPr>
          <w:p w:rsidR="00B25FDC" w:rsidRPr="00B25FDC" w:rsidRDefault="00B25FDC" w:rsidP="00161267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 w:hint="eastAsia"/>
                <w:sz w:val="32"/>
                <w:szCs w:val="32"/>
              </w:rPr>
              <w:t>上诉案件收案数</w:t>
            </w:r>
          </w:p>
        </w:tc>
        <w:tc>
          <w:tcPr>
            <w:tcW w:w="2761" w:type="dxa"/>
          </w:tcPr>
          <w:p w:rsidR="00B25FDC" w:rsidRPr="00B25FDC" w:rsidRDefault="00B25FDC" w:rsidP="00161267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 w:hint="eastAsia"/>
                <w:sz w:val="32"/>
                <w:szCs w:val="32"/>
              </w:rPr>
              <w:t>一审服判息诉率</w:t>
            </w:r>
          </w:p>
        </w:tc>
      </w:tr>
      <w:tr w:rsidR="00B25FDC" w:rsidRPr="00B25FDC" w:rsidTr="00B25FDC">
        <w:trPr>
          <w:trHeight w:val="323"/>
          <w:jc w:val="center"/>
        </w:trPr>
        <w:tc>
          <w:tcPr>
            <w:tcW w:w="2760" w:type="dxa"/>
          </w:tcPr>
          <w:p w:rsidR="00B25FDC" w:rsidRPr="00B25FDC" w:rsidRDefault="00B25FDC" w:rsidP="000E2918">
            <w:pPr>
              <w:spacing w:line="220" w:lineRule="atLeast"/>
              <w:ind w:firstLineChars="300" w:firstLine="960"/>
              <w:jc w:val="both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 w:hint="eastAsia"/>
                <w:sz w:val="32"/>
                <w:szCs w:val="32"/>
              </w:rPr>
              <w:t>22</w:t>
            </w:r>
          </w:p>
        </w:tc>
        <w:tc>
          <w:tcPr>
            <w:tcW w:w="2761" w:type="dxa"/>
          </w:tcPr>
          <w:p w:rsidR="00B25FDC" w:rsidRPr="00B25FDC" w:rsidRDefault="00B25FDC" w:rsidP="00B160FD">
            <w:pPr>
              <w:spacing w:line="220" w:lineRule="atLeast"/>
              <w:ind w:firstLineChars="350" w:firstLine="1120"/>
              <w:jc w:val="both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2761" w:type="dxa"/>
          </w:tcPr>
          <w:p w:rsidR="00B25FDC" w:rsidRPr="00B25FDC" w:rsidRDefault="00B25FDC" w:rsidP="000E2918">
            <w:pPr>
              <w:spacing w:line="220" w:lineRule="atLeast"/>
              <w:ind w:firstLineChars="200" w:firstLine="640"/>
              <w:jc w:val="both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 w:hint="eastAsia"/>
                <w:sz w:val="32"/>
                <w:szCs w:val="32"/>
              </w:rPr>
              <w:t>95.46%</w:t>
            </w:r>
          </w:p>
        </w:tc>
      </w:tr>
    </w:tbl>
    <w:p w:rsidR="00D204E0" w:rsidRDefault="00D204E0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</w:p>
    <w:p w:rsidR="006443A1" w:rsidRPr="00A97415" w:rsidRDefault="00DE75FA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A97415">
        <w:rPr>
          <w:rFonts w:ascii="黑体" w:eastAsia="黑体" w:hAnsi="黑体" w:hint="eastAsia"/>
          <w:sz w:val="32"/>
          <w:szCs w:val="32"/>
        </w:rPr>
        <w:t>（七</w:t>
      </w:r>
      <w:r w:rsidR="006443A1" w:rsidRPr="00A97415">
        <w:rPr>
          <w:rFonts w:ascii="黑体" w:eastAsia="黑体" w:hAnsi="黑体" w:hint="eastAsia"/>
          <w:sz w:val="32"/>
          <w:szCs w:val="32"/>
        </w:rPr>
        <w:t>）</w:t>
      </w:r>
      <w:r w:rsidRPr="00A97415">
        <w:rPr>
          <w:rFonts w:ascii="黑体" w:eastAsia="黑体" w:hAnsi="黑体" w:hint="eastAsia"/>
          <w:sz w:val="32"/>
          <w:szCs w:val="32"/>
        </w:rPr>
        <w:t>1-3月</w:t>
      </w:r>
      <w:r w:rsidR="006443A1" w:rsidRPr="00A97415">
        <w:rPr>
          <w:rFonts w:ascii="黑体" w:eastAsia="黑体" w:hAnsi="黑体" w:hint="eastAsia"/>
          <w:sz w:val="32"/>
          <w:szCs w:val="32"/>
        </w:rPr>
        <w:t>一审案件上诉被改判、发回重审率情况</w:t>
      </w:r>
    </w:p>
    <w:p w:rsidR="006443A1" w:rsidRPr="00A97415" w:rsidRDefault="006443A1" w:rsidP="00E966B6">
      <w:pPr>
        <w:spacing w:after="0" w:line="220" w:lineRule="atLeast"/>
        <w:ind w:firstLineChars="250" w:firstLine="800"/>
        <w:jc w:val="both"/>
        <w:rPr>
          <w:rFonts w:ascii="仿宋" w:eastAsia="仿宋" w:hAnsi="仿宋"/>
          <w:color w:val="FF0000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一审案件上诉被改判、发回重审率为</w:t>
      </w:r>
      <w:r w:rsidR="00277B0A" w:rsidRPr="00A97415">
        <w:rPr>
          <w:rFonts w:ascii="仿宋" w:eastAsia="仿宋" w:hAnsi="仿宋" w:hint="eastAsia"/>
          <w:sz w:val="32"/>
          <w:szCs w:val="32"/>
        </w:rPr>
        <w:t>9.09</w:t>
      </w:r>
      <w:r w:rsidRPr="00A97415">
        <w:rPr>
          <w:rFonts w:ascii="仿宋" w:eastAsia="仿宋" w:hAnsi="仿宋" w:hint="eastAsia"/>
          <w:sz w:val="32"/>
          <w:szCs w:val="32"/>
        </w:rPr>
        <w:t>%</w:t>
      </w:r>
      <w:r w:rsidR="00451EE6" w:rsidRPr="00A97415">
        <w:rPr>
          <w:rFonts w:ascii="仿宋" w:eastAsia="仿宋" w:hAnsi="仿宋" w:hint="eastAsia"/>
          <w:sz w:val="32"/>
          <w:szCs w:val="32"/>
        </w:rPr>
        <w:t>。</w:t>
      </w:r>
    </w:p>
    <w:p w:rsidR="00CA1CF9" w:rsidRDefault="00CA1CF9" w:rsidP="00161267">
      <w:pPr>
        <w:spacing w:after="0" w:line="220" w:lineRule="atLeast"/>
        <w:ind w:leftChars="50" w:left="430" w:hangingChars="100" w:hanging="320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6443A1" w:rsidRPr="00A97415" w:rsidRDefault="00DE75FA" w:rsidP="00A97415">
      <w:pPr>
        <w:spacing w:after="0" w:line="220" w:lineRule="atLeast"/>
        <w:ind w:leftChars="100" w:left="381" w:hangingChars="50" w:hanging="161"/>
        <w:jc w:val="both"/>
        <w:rPr>
          <w:rFonts w:ascii="仿宋" w:eastAsia="仿宋" w:hAnsi="仿宋"/>
          <w:b/>
          <w:sz w:val="32"/>
          <w:szCs w:val="32"/>
        </w:rPr>
      </w:pPr>
      <w:r w:rsidRPr="00A97415">
        <w:rPr>
          <w:rFonts w:ascii="仿宋" w:eastAsia="仿宋" w:hAnsi="仿宋" w:hint="eastAsia"/>
          <w:b/>
          <w:sz w:val="32"/>
          <w:szCs w:val="32"/>
        </w:rPr>
        <w:t>2019</w:t>
      </w:r>
      <w:r w:rsidR="006443A1" w:rsidRPr="00A97415">
        <w:rPr>
          <w:rFonts w:ascii="仿宋" w:eastAsia="仿宋" w:hAnsi="仿宋" w:hint="eastAsia"/>
          <w:b/>
          <w:sz w:val="32"/>
          <w:szCs w:val="32"/>
        </w:rPr>
        <w:t>年</w:t>
      </w:r>
      <w:r w:rsidRPr="00A97415">
        <w:rPr>
          <w:rFonts w:ascii="仿宋" w:eastAsia="仿宋" w:hAnsi="仿宋" w:hint="eastAsia"/>
          <w:b/>
          <w:sz w:val="32"/>
          <w:szCs w:val="32"/>
        </w:rPr>
        <w:t>1-3月</w:t>
      </w:r>
      <w:r w:rsidR="006443A1" w:rsidRPr="00A97415">
        <w:rPr>
          <w:rFonts w:ascii="仿宋" w:eastAsia="仿宋" w:hAnsi="仿宋" w:hint="eastAsia"/>
          <w:b/>
          <w:sz w:val="32"/>
          <w:szCs w:val="32"/>
        </w:rPr>
        <w:t>一审案件上诉被改</w:t>
      </w:r>
      <w:r w:rsidRPr="00A97415">
        <w:rPr>
          <w:rFonts w:ascii="仿宋" w:eastAsia="仿宋" w:hAnsi="仿宋" w:hint="eastAsia"/>
          <w:b/>
          <w:sz w:val="32"/>
          <w:szCs w:val="32"/>
        </w:rPr>
        <w:t>判、发</w:t>
      </w:r>
      <w:r w:rsidR="006443A1" w:rsidRPr="00A97415">
        <w:rPr>
          <w:rFonts w:ascii="仿宋" w:eastAsia="仿宋" w:hAnsi="仿宋" w:hint="eastAsia"/>
          <w:b/>
          <w:sz w:val="32"/>
          <w:szCs w:val="32"/>
        </w:rPr>
        <w:t>回重审率统计表</w:t>
      </w:r>
    </w:p>
    <w:tbl>
      <w:tblPr>
        <w:tblStyle w:val="a7"/>
        <w:tblW w:w="0" w:type="auto"/>
        <w:tblLook w:val="04A0"/>
      </w:tblPr>
      <w:tblGrid>
        <w:gridCol w:w="2070"/>
        <w:gridCol w:w="2150"/>
        <w:gridCol w:w="2151"/>
        <w:gridCol w:w="2151"/>
      </w:tblGrid>
      <w:tr w:rsidR="00B25FDC" w:rsidRPr="00B25FDC" w:rsidTr="00B25FDC">
        <w:tc>
          <w:tcPr>
            <w:tcW w:w="2070" w:type="dxa"/>
          </w:tcPr>
          <w:p w:rsidR="00B25FDC" w:rsidRPr="00B25FDC" w:rsidRDefault="00B25FDC" w:rsidP="000E2918">
            <w:pPr>
              <w:spacing w:line="220" w:lineRule="atLeast"/>
              <w:ind w:firstLineChars="100" w:firstLine="28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5FDC">
              <w:rPr>
                <w:rFonts w:asciiTheme="minorEastAsia" w:eastAsiaTheme="minorEastAsia" w:hAnsiTheme="minorEastAsia" w:hint="eastAsia"/>
                <w:sz w:val="28"/>
                <w:szCs w:val="28"/>
              </w:rPr>
              <w:t>一审案件</w:t>
            </w:r>
          </w:p>
          <w:p w:rsidR="00B25FDC" w:rsidRPr="00B25FDC" w:rsidRDefault="00B25FDC" w:rsidP="000E2918">
            <w:pPr>
              <w:spacing w:line="220" w:lineRule="atLeast"/>
              <w:ind w:firstLineChars="150" w:firstLine="42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5FDC">
              <w:rPr>
                <w:rFonts w:asciiTheme="minorEastAsia" w:eastAsiaTheme="minorEastAsia" w:hAnsiTheme="minorEastAsia" w:hint="eastAsia"/>
                <w:sz w:val="28"/>
                <w:szCs w:val="28"/>
              </w:rPr>
              <w:t>结案数</w:t>
            </w:r>
          </w:p>
        </w:tc>
        <w:tc>
          <w:tcPr>
            <w:tcW w:w="2150" w:type="dxa"/>
          </w:tcPr>
          <w:p w:rsidR="00B25FDC" w:rsidRPr="00B25FDC" w:rsidRDefault="00B25FDC" w:rsidP="000E2918">
            <w:pPr>
              <w:spacing w:line="220" w:lineRule="atLeast"/>
              <w:ind w:firstLineChars="100" w:firstLine="28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5FDC">
              <w:rPr>
                <w:rFonts w:asciiTheme="minorEastAsia" w:eastAsiaTheme="minorEastAsia" w:hAnsiTheme="minorEastAsia" w:hint="eastAsia"/>
                <w:sz w:val="28"/>
                <w:szCs w:val="28"/>
              </w:rPr>
              <w:t>上诉案件</w:t>
            </w:r>
          </w:p>
          <w:p w:rsidR="00B25FDC" w:rsidRPr="00B25FDC" w:rsidRDefault="00B25FDC" w:rsidP="000E2918">
            <w:pPr>
              <w:spacing w:line="220" w:lineRule="atLeast"/>
              <w:ind w:firstLineChars="150" w:firstLine="42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5FDC">
              <w:rPr>
                <w:rFonts w:asciiTheme="minorEastAsia" w:eastAsiaTheme="minorEastAsia" w:hAnsiTheme="minorEastAsia" w:hint="eastAsia"/>
                <w:sz w:val="28"/>
                <w:szCs w:val="28"/>
              </w:rPr>
              <w:t>改判数</w:t>
            </w:r>
          </w:p>
        </w:tc>
        <w:tc>
          <w:tcPr>
            <w:tcW w:w="2151" w:type="dxa"/>
          </w:tcPr>
          <w:p w:rsidR="00B25FDC" w:rsidRPr="00B25FDC" w:rsidRDefault="00B25FDC" w:rsidP="000E2918">
            <w:pPr>
              <w:spacing w:line="220" w:lineRule="atLeast"/>
              <w:ind w:firstLineChars="100" w:firstLine="28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5FDC">
              <w:rPr>
                <w:rFonts w:asciiTheme="minorEastAsia" w:eastAsiaTheme="minorEastAsia" w:hAnsiTheme="minorEastAsia" w:hint="eastAsia"/>
                <w:sz w:val="28"/>
                <w:szCs w:val="28"/>
              </w:rPr>
              <w:t>上诉案件</w:t>
            </w:r>
          </w:p>
          <w:p w:rsidR="00B25FDC" w:rsidRPr="00B25FDC" w:rsidRDefault="00B25FDC" w:rsidP="000E2918">
            <w:pPr>
              <w:spacing w:line="220" w:lineRule="atLeast"/>
              <w:ind w:firstLineChars="50" w:firstLine="14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5FDC">
              <w:rPr>
                <w:rFonts w:asciiTheme="minorEastAsia" w:eastAsiaTheme="minorEastAsia" w:hAnsiTheme="minorEastAsia" w:hint="eastAsia"/>
                <w:sz w:val="28"/>
                <w:szCs w:val="28"/>
              </w:rPr>
              <w:t>发回重审数</w:t>
            </w:r>
          </w:p>
        </w:tc>
        <w:tc>
          <w:tcPr>
            <w:tcW w:w="2151" w:type="dxa"/>
          </w:tcPr>
          <w:p w:rsidR="00B25FDC" w:rsidRPr="00B25FDC" w:rsidRDefault="00B25FDC" w:rsidP="000E2918">
            <w:pPr>
              <w:spacing w:line="220" w:lineRule="atLeast"/>
              <w:ind w:left="280" w:hangingChars="100" w:hanging="28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5FDC">
              <w:rPr>
                <w:rFonts w:asciiTheme="minorEastAsia" w:eastAsiaTheme="minorEastAsia" w:hAnsiTheme="minorEastAsia" w:hint="eastAsia"/>
                <w:sz w:val="28"/>
                <w:szCs w:val="28"/>
              </w:rPr>
              <w:t>一审案件上诉发回重审率</w:t>
            </w:r>
          </w:p>
        </w:tc>
      </w:tr>
      <w:tr w:rsidR="00B25FDC" w:rsidRPr="00B25FDC" w:rsidTr="00B25FDC">
        <w:tc>
          <w:tcPr>
            <w:tcW w:w="2070" w:type="dxa"/>
          </w:tcPr>
          <w:p w:rsidR="00B25FDC" w:rsidRPr="00B25FDC" w:rsidRDefault="00B25FDC" w:rsidP="000E2918">
            <w:pPr>
              <w:spacing w:line="220" w:lineRule="atLeast"/>
              <w:ind w:firstLineChars="250" w:firstLine="70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5FDC">
              <w:rPr>
                <w:rFonts w:asciiTheme="minorEastAsia" w:eastAsia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2150" w:type="dxa"/>
          </w:tcPr>
          <w:p w:rsidR="00B25FDC" w:rsidRPr="00B25FDC" w:rsidRDefault="00B25FDC" w:rsidP="000E2918">
            <w:pPr>
              <w:spacing w:line="220" w:lineRule="atLeast"/>
              <w:ind w:firstLineChars="300" w:firstLine="84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5FDC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2151" w:type="dxa"/>
          </w:tcPr>
          <w:p w:rsidR="00B25FDC" w:rsidRPr="00B25FDC" w:rsidRDefault="00B25FDC" w:rsidP="000E2918">
            <w:pPr>
              <w:spacing w:line="220" w:lineRule="atLeast"/>
              <w:ind w:firstLineChars="250" w:firstLine="70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5FDC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B25FDC" w:rsidRPr="00B25FDC" w:rsidRDefault="00B25FDC" w:rsidP="000E2918">
            <w:pPr>
              <w:spacing w:line="220" w:lineRule="atLeast"/>
              <w:ind w:firstLineChars="200" w:firstLine="56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5FDC">
              <w:rPr>
                <w:rFonts w:asciiTheme="minorEastAsia" w:eastAsiaTheme="minorEastAsia" w:hAnsiTheme="minorEastAsia" w:hint="eastAsia"/>
                <w:sz w:val="28"/>
                <w:szCs w:val="28"/>
              </w:rPr>
              <w:t>9.09%</w:t>
            </w:r>
          </w:p>
        </w:tc>
      </w:tr>
    </w:tbl>
    <w:p w:rsidR="00D175D0" w:rsidRPr="00451EE6" w:rsidRDefault="00D175D0" w:rsidP="00161267">
      <w:pPr>
        <w:spacing w:after="0" w:line="220" w:lineRule="atLeast"/>
        <w:jc w:val="both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451EE6">
        <w:rPr>
          <w:rFonts w:asciiTheme="minorEastAsia" w:eastAsiaTheme="minorEastAsia" w:hAnsiTheme="minorEastAsia" w:hint="eastAsia"/>
          <w:color w:val="FF0000"/>
          <w:sz w:val="28"/>
          <w:szCs w:val="28"/>
        </w:rPr>
        <w:t xml:space="preserve">     </w:t>
      </w:r>
    </w:p>
    <w:p w:rsidR="006443A1" w:rsidRPr="00A97415" w:rsidRDefault="00D175D0" w:rsidP="00883485">
      <w:pPr>
        <w:spacing w:after="0" w:line="220" w:lineRule="atLeast"/>
        <w:jc w:val="both"/>
        <w:rPr>
          <w:rFonts w:ascii="黑体" w:eastAsia="黑体" w:hAnsi="黑体"/>
          <w:color w:val="FF0000"/>
          <w:sz w:val="28"/>
          <w:szCs w:val="28"/>
        </w:rPr>
      </w:pPr>
      <w:r w:rsidRPr="00451EE6">
        <w:rPr>
          <w:rFonts w:asciiTheme="minorEastAsia" w:eastAsiaTheme="minorEastAsia" w:hAnsiTheme="minorEastAsia" w:hint="eastAsia"/>
          <w:color w:val="FF0000"/>
          <w:sz w:val="28"/>
          <w:szCs w:val="28"/>
        </w:rPr>
        <w:t xml:space="preserve">      </w:t>
      </w:r>
      <w:r w:rsidR="00DE75FA" w:rsidRPr="00A97415">
        <w:rPr>
          <w:rFonts w:ascii="黑体" w:eastAsia="黑体" w:hAnsi="黑体" w:hint="eastAsia"/>
          <w:sz w:val="32"/>
          <w:szCs w:val="32"/>
        </w:rPr>
        <w:t>（八</w:t>
      </w:r>
      <w:r w:rsidR="006443A1" w:rsidRPr="00A97415">
        <w:rPr>
          <w:rFonts w:ascii="黑体" w:eastAsia="黑体" w:hAnsi="黑体" w:hint="eastAsia"/>
          <w:sz w:val="32"/>
          <w:szCs w:val="32"/>
        </w:rPr>
        <w:t>）生效案件再审被改判、发回重审率情况</w:t>
      </w:r>
    </w:p>
    <w:p w:rsidR="00883485" w:rsidRPr="00A97415" w:rsidRDefault="00DE75FA" w:rsidP="00883485">
      <w:pPr>
        <w:spacing w:after="0" w:line="220" w:lineRule="atLeast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1-3月珲春林区基层</w:t>
      </w:r>
      <w:r w:rsidR="006443A1" w:rsidRPr="00A97415">
        <w:rPr>
          <w:rFonts w:ascii="仿宋" w:eastAsia="仿宋" w:hAnsi="仿宋" w:hint="eastAsia"/>
          <w:sz w:val="32"/>
          <w:szCs w:val="32"/>
        </w:rPr>
        <w:t>法院生效案件再审被改判、发回重审率为</w:t>
      </w:r>
      <w:r w:rsidR="00097462" w:rsidRPr="00A97415">
        <w:rPr>
          <w:rFonts w:ascii="仿宋" w:eastAsia="仿宋" w:hAnsi="仿宋" w:hint="eastAsia"/>
          <w:sz w:val="32"/>
          <w:szCs w:val="32"/>
        </w:rPr>
        <w:t>0.00</w:t>
      </w:r>
      <w:r w:rsidR="006443A1" w:rsidRPr="00A97415">
        <w:rPr>
          <w:rFonts w:ascii="仿宋" w:eastAsia="仿宋" w:hAnsi="仿宋" w:hint="eastAsia"/>
          <w:sz w:val="32"/>
          <w:szCs w:val="32"/>
        </w:rPr>
        <w:t>%</w:t>
      </w:r>
      <w:r w:rsidR="00883485" w:rsidRPr="00A97415">
        <w:rPr>
          <w:rFonts w:ascii="仿宋" w:eastAsia="仿宋" w:hAnsi="仿宋" w:hint="eastAsia"/>
          <w:sz w:val="32"/>
          <w:szCs w:val="32"/>
        </w:rPr>
        <w:t>。</w:t>
      </w:r>
    </w:p>
    <w:p w:rsidR="006443A1" w:rsidRPr="00A97415" w:rsidRDefault="00883485" w:rsidP="00883485">
      <w:pPr>
        <w:spacing w:after="0" w:line="220" w:lineRule="atLeast"/>
        <w:ind w:firstLineChars="250" w:firstLine="800"/>
        <w:jc w:val="both"/>
        <w:rPr>
          <w:rFonts w:ascii="黑体" w:eastAsia="黑体" w:hAnsi="黑体"/>
          <w:sz w:val="32"/>
          <w:szCs w:val="32"/>
        </w:rPr>
      </w:pPr>
      <w:r w:rsidRPr="00A97415">
        <w:rPr>
          <w:rFonts w:ascii="黑体" w:eastAsia="黑体" w:hAnsi="黑体" w:hint="eastAsia"/>
          <w:sz w:val="32"/>
          <w:szCs w:val="32"/>
        </w:rPr>
        <w:t>（九）</w:t>
      </w:r>
      <w:r w:rsidR="006443A1" w:rsidRPr="00A97415">
        <w:rPr>
          <w:rFonts w:ascii="黑体" w:eastAsia="黑体" w:hAnsi="黑体" w:hint="eastAsia"/>
          <w:sz w:val="32"/>
          <w:szCs w:val="32"/>
        </w:rPr>
        <w:t>超期结案率情况</w:t>
      </w:r>
    </w:p>
    <w:p w:rsidR="00883485" w:rsidRPr="00A97415" w:rsidRDefault="00954D7C" w:rsidP="00883485">
      <w:pPr>
        <w:spacing w:after="0" w:line="220" w:lineRule="atLeast"/>
        <w:ind w:leftChars="150" w:left="330" w:firstLineChars="250" w:firstLine="800"/>
        <w:jc w:val="both"/>
        <w:rPr>
          <w:rFonts w:ascii="仿宋" w:eastAsia="仿宋" w:hAnsi="仿宋"/>
          <w:color w:val="FF0000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1-3月</w:t>
      </w:r>
      <w:r w:rsidR="006443A1" w:rsidRPr="00A97415">
        <w:rPr>
          <w:rFonts w:ascii="仿宋" w:eastAsia="仿宋" w:hAnsi="仿宋" w:hint="eastAsia"/>
          <w:sz w:val="32"/>
          <w:szCs w:val="32"/>
        </w:rPr>
        <w:t>超期结案率为</w:t>
      </w:r>
      <w:r w:rsidR="00E473C0" w:rsidRPr="00A97415">
        <w:rPr>
          <w:rFonts w:ascii="仿宋" w:eastAsia="仿宋" w:hAnsi="仿宋" w:hint="eastAsia"/>
          <w:sz w:val="32"/>
          <w:szCs w:val="32"/>
        </w:rPr>
        <w:t>0.00</w:t>
      </w:r>
      <w:r w:rsidR="006443A1" w:rsidRPr="00A97415">
        <w:rPr>
          <w:rFonts w:ascii="仿宋" w:eastAsia="仿宋" w:hAnsi="仿宋" w:hint="eastAsia"/>
          <w:sz w:val="32"/>
          <w:szCs w:val="32"/>
        </w:rPr>
        <w:t>%</w:t>
      </w:r>
      <w:r w:rsidRPr="00A97415">
        <w:rPr>
          <w:rFonts w:ascii="仿宋" w:eastAsia="仿宋" w:hAnsi="仿宋" w:hint="eastAsia"/>
          <w:sz w:val="32"/>
          <w:szCs w:val="32"/>
        </w:rPr>
        <w:t>。</w:t>
      </w:r>
    </w:p>
    <w:p w:rsidR="006443A1" w:rsidRPr="00A97415" w:rsidRDefault="005A4B49" w:rsidP="00883485">
      <w:pPr>
        <w:spacing w:after="0" w:line="220" w:lineRule="atLeast"/>
        <w:ind w:firstLineChars="250" w:firstLine="800"/>
        <w:jc w:val="both"/>
        <w:rPr>
          <w:rFonts w:ascii="黑体" w:eastAsia="黑体" w:hAnsi="黑体"/>
          <w:color w:val="FF0000"/>
          <w:sz w:val="32"/>
          <w:szCs w:val="32"/>
        </w:rPr>
      </w:pPr>
      <w:r w:rsidRPr="00A97415">
        <w:rPr>
          <w:rFonts w:ascii="黑体" w:eastAsia="黑体" w:hAnsi="黑体" w:hint="eastAsia"/>
          <w:sz w:val="32"/>
          <w:szCs w:val="32"/>
        </w:rPr>
        <w:t>（十</w:t>
      </w:r>
      <w:r w:rsidR="006443A1" w:rsidRPr="00A97415">
        <w:rPr>
          <w:rFonts w:ascii="黑体" w:eastAsia="黑体" w:hAnsi="黑体" w:hint="eastAsia"/>
          <w:sz w:val="32"/>
          <w:szCs w:val="32"/>
        </w:rPr>
        <w:t>）民事调撤率情况</w:t>
      </w:r>
    </w:p>
    <w:p w:rsidR="006443A1" w:rsidRPr="00A97415" w:rsidRDefault="005A4B49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1-3月</w:t>
      </w:r>
      <w:r w:rsidR="00700221" w:rsidRPr="00A97415">
        <w:rPr>
          <w:rFonts w:ascii="仿宋" w:eastAsia="仿宋" w:hAnsi="仿宋" w:hint="eastAsia"/>
          <w:sz w:val="32"/>
          <w:szCs w:val="32"/>
        </w:rPr>
        <w:t>民事</w:t>
      </w:r>
      <w:r w:rsidR="006443A1" w:rsidRPr="00A97415">
        <w:rPr>
          <w:rFonts w:ascii="仿宋" w:eastAsia="仿宋" w:hAnsi="仿宋" w:hint="eastAsia"/>
          <w:sz w:val="32"/>
          <w:szCs w:val="32"/>
        </w:rPr>
        <w:t>调撤率为</w:t>
      </w:r>
      <w:r w:rsidR="00B957C0" w:rsidRPr="00A97415">
        <w:rPr>
          <w:rFonts w:ascii="仿宋" w:eastAsia="仿宋" w:hAnsi="仿宋" w:hint="eastAsia"/>
          <w:sz w:val="32"/>
          <w:szCs w:val="32"/>
        </w:rPr>
        <w:t>70.00</w:t>
      </w:r>
      <w:r w:rsidR="006443A1" w:rsidRPr="00A97415">
        <w:rPr>
          <w:rFonts w:ascii="仿宋" w:eastAsia="仿宋" w:hAnsi="仿宋" w:hint="eastAsia"/>
          <w:sz w:val="32"/>
          <w:szCs w:val="32"/>
        </w:rPr>
        <w:t>%</w:t>
      </w:r>
      <w:r w:rsidR="00700221" w:rsidRPr="00A97415">
        <w:rPr>
          <w:rFonts w:ascii="仿宋" w:eastAsia="仿宋" w:hAnsi="仿宋" w:hint="eastAsia"/>
          <w:sz w:val="32"/>
          <w:szCs w:val="32"/>
        </w:rPr>
        <w:t>，全院共有7件案件通过调解、撤诉方式结案，其中调解5件，撤诉2件。</w:t>
      </w:r>
    </w:p>
    <w:p w:rsidR="009D5EA9" w:rsidRPr="00A97415" w:rsidRDefault="009D5EA9" w:rsidP="005F24E4">
      <w:pPr>
        <w:spacing w:after="0" w:line="220" w:lineRule="atLeast"/>
        <w:ind w:firstLineChars="250" w:firstLine="800"/>
        <w:jc w:val="both"/>
        <w:rPr>
          <w:rFonts w:ascii="黑体" w:eastAsia="黑体" w:hAnsi="黑体"/>
          <w:sz w:val="32"/>
          <w:szCs w:val="32"/>
        </w:rPr>
      </w:pPr>
      <w:r w:rsidRPr="00A97415">
        <w:rPr>
          <w:rFonts w:ascii="黑体" w:eastAsia="黑体" w:hAnsi="黑体" w:hint="eastAsia"/>
          <w:color w:val="000000" w:themeColor="text1"/>
          <w:sz w:val="32"/>
          <w:szCs w:val="32"/>
        </w:rPr>
        <w:t>(十一)</w:t>
      </w:r>
      <w:r w:rsidR="00EB64BC" w:rsidRPr="00A97415">
        <w:rPr>
          <w:rFonts w:ascii="黑体" w:eastAsia="黑体" w:hAnsi="黑体" w:hint="eastAsia"/>
          <w:sz w:val="32"/>
          <w:szCs w:val="32"/>
        </w:rPr>
        <w:t>员额法官</w:t>
      </w:r>
      <w:r w:rsidRPr="00A97415">
        <w:rPr>
          <w:rFonts w:ascii="黑体" w:eastAsia="黑体" w:hAnsi="黑体" w:hint="eastAsia"/>
          <w:sz w:val="32"/>
          <w:szCs w:val="32"/>
        </w:rPr>
        <w:t>人均审结诉讼案件数情况</w:t>
      </w:r>
    </w:p>
    <w:p w:rsidR="00877839" w:rsidRPr="00A97415" w:rsidRDefault="00877839" w:rsidP="00161267">
      <w:pPr>
        <w:spacing w:after="0" w:line="220" w:lineRule="atLeast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1-3</w:t>
      </w:r>
      <w:r w:rsidR="004A5F4D" w:rsidRPr="00A97415">
        <w:rPr>
          <w:rFonts w:ascii="仿宋" w:eastAsia="仿宋" w:hAnsi="仿宋" w:hint="eastAsia"/>
          <w:sz w:val="32"/>
          <w:szCs w:val="32"/>
        </w:rPr>
        <w:t>月13名员额法官</w:t>
      </w:r>
      <w:r w:rsidRPr="00A97415">
        <w:rPr>
          <w:rFonts w:ascii="仿宋" w:eastAsia="仿宋" w:hAnsi="仿宋" w:hint="eastAsia"/>
          <w:sz w:val="32"/>
          <w:szCs w:val="32"/>
        </w:rPr>
        <w:t>人均审结诉讼案件数1.85件。</w:t>
      </w:r>
    </w:p>
    <w:p w:rsidR="006443A1" w:rsidRPr="00A97415" w:rsidRDefault="00D60054" w:rsidP="005F24E4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A97415">
        <w:rPr>
          <w:rFonts w:ascii="黑体" w:eastAsia="黑体" w:hAnsi="黑体" w:hint="eastAsia"/>
          <w:color w:val="000000" w:themeColor="text1"/>
          <w:sz w:val="32"/>
          <w:szCs w:val="32"/>
        </w:rPr>
        <w:t>（</w:t>
      </w:r>
      <w:r w:rsidR="009D5EA9" w:rsidRPr="00A97415">
        <w:rPr>
          <w:rFonts w:ascii="黑体" w:eastAsia="黑体" w:hAnsi="黑体" w:hint="eastAsia"/>
          <w:color w:val="000000" w:themeColor="text1"/>
          <w:sz w:val="32"/>
          <w:szCs w:val="32"/>
        </w:rPr>
        <w:t>十二</w:t>
      </w:r>
      <w:r w:rsidR="006443A1" w:rsidRPr="00A97415">
        <w:rPr>
          <w:rFonts w:ascii="黑体" w:eastAsia="黑体" w:hAnsi="黑体" w:hint="eastAsia"/>
          <w:color w:val="000000" w:themeColor="text1"/>
          <w:sz w:val="32"/>
          <w:szCs w:val="32"/>
        </w:rPr>
        <w:t>）</w:t>
      </w:r>
      <w:r w:rsidR="006443A1" w:rsidRPr="00A97415">
        <w:rPr>
          <w:rFonts w:ascii="黑体" w:eastAsia="黑体" w:hAnsi="黑体" w:hint="eastAsia"/>
          <w:sz w:val="32"/>
          <w:szCs w:val="32"/>
        </w:rPr>
        <w:t>讼案件平均审理天数情况</w:t>
      </w:r>
      <w:r w:rsidR="00451EE6" w:rsidRPr="00A97415">
        <w:rPr>
          <w:rFonts w:ascii="黑体" w:eastAsia="黑体" w:hAnsi="黑体" w:hint="eastAsia"/>
          <w:sz w:val="32"/>
          <w:szCs w:val="32"/>
        </w:rPr>
        <w:t xml:space="preserve">   </w:t>
      </w:r>
    </w:p>
    <w:p w:rsidR="006443A1" w:rsidRPr="00A97415" w:rsidRDefault="003C1659" w:rsidP="005F24E4">
      <w:pPr>
        <w:spacing w:after="0" w:line="220" w:lineRule="atLeast"/>
        <w:ind w:firstLineChars="250" w:firstLine="800"/>
        <w:jc w:val="both"/>
        <w:rPr>
          <w:rFonts w:ascii="仿宋" w:eastAsia="仿宋" w:hAnsi="仿宋"/>
          <w:color w:val="7030A0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1-3月</w:t>
      </w:r>
      <w:r w:rsidR="00877839" w:rsidRPr="00A97415">
        <w:rPr>
          <w:rFonts w:ascii="仿宋" w:eastAsia="仿宋" w:hAnsi="仿宋" w:hint="eastAsia"/>
          <w:sz w:val="32"/>
          <w:szCs w:val="32"/>
        </w:rPr>
        <w:t>诉讼案件</w:t>
      </w:r>
      <w:r w:rsidR="006443A1" w:rsidRPr="00A97415">
        <w:rPr>
          <w:rFonts w:ascii="仿宋" w:eastAsia="仿宋" w:hAnsi="仿宋" w:hint="eastAsia"/>
          <w:sz w:val="32"/>
          <w:szCs w:val="32"/>
        </w:rPr>
        <w:t>平均审理天数</w:t>
      </w:r>
      <w:r w:rsidR="00877839" w:rsidRPr="00A97415">
        <w:rPr>
          <w:rFonts w:ascii="仿宋" w:eastAsia="仿宋" w:hAnsi="仿宋" w:hint="eastAsia"/>
          <w:color w:val="000000" w:themeColor="text1"/>
          <w:sz w:val="32"/>
          <w:szCs w:val="32"/>
        </w:rPr>
        <w:t>16</w:t>
      </w:r>
      <w:r w:rsidR="006443A1" w:rsidRPr="00A97415">
        <w:rPr>
          <w:rFonts w:ascii="仿宋" w:eastAsia="仿宋" w:hAnsi="仿宋" w:hint="eastAsia"/>
          <w:color w:val="000000" w:themeColor="text1"/>
          <w:sz w:val="32"/>
          <w:szCs w:val="32"/>
        </w:rPr>
        <w:t>天</w:t>
      </w:r>
      <w:r w:rsidR="00C91408" w:rsidRPr="00A97415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E2899" w:rsidRPr="00A97415" w:rsidRDefault="009D5EA9" w:rsidP="00A97415">
      <w:pPr>
        <w:spacing w:after="0" w:line="220" w:lineRule="atLeast"/>
        <w:ind w:firstLineChars="250" w:firstLine="80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A97415">
        <w:rPr>
          <w:rFonts w:asciiTheme="majorEastAsia" w:eastAsiaTheme="majorEastAsia" w:hAnsiTheme="majorEastAsia" w:hint="eastAsia"/>
          <w:b/>
          <w:sz w:val="32"/>
          <w:szCs w:val="32"/>
        </w:rPr>
        <w:t>五</w:t>
      </w:r>
      <w:r w:rsidR="006443A1" w:rsidRPr="00A97415">
        <w:rPr>
          <w:rFonts w:asciiTheme="majorEastAsia" w:eastAsiaTheme="majorEastAsia" w:hAnsiTheme="majorEastAsia" w:hint="eastAsia"/>
          <w:b/>
          <w:sz w:val="32"/>
          <w:szCs w:val="32"/>
        </w:rPr>
        <w:t>、审判绩效考核情况</w:t>
      </w:r>
    </w:p>
    <w:p w:rsidR="006443A1" w:rsidRPr="00A97415" w:rsidRDefault="00DE2899" w:rsidP="005F24E4">
      <w:pPr>
        <w:spacing w:after="0" w:line="220" w:lineRule="atLeast"/>
        <w:ind w:firstLineChars="250" w:firstLine="800"/>
        <w:jc w:val="both"/>
        <w:rPr>
          <w:rFonts w:ascii="黑体" w:eastAsia="黑体" w:hAnsi="黑体"/>
          <w:sz w:val="32"/>
          <w:szCs w:val="32"/>
        </w:rPr>
      </w:pPr>
      <w:r w:rsidRPr="00A97415">
        <w:rPr>
          <w:rFonts w:ascii="黑体" w:eastAsia="黑体" w:hAnsi="黑体" w:hint="eastAsia"/>
          <w:sz w:val="32"/>
          <w:szCs w:val="32"/>
        </w:rPr>
        <w:t>(一</w:t>
      </w:r>
      <w:r w:rsidR="009D5EA9" w:rsidRPr="00A97415">
        <w:rPr>
          <w:rFonts w:ascii="黑体" w:eastAsia="黑体" w:hAnsi="黑体" w:hint="eastAsia"/>
          <w:sz w:val="32"/>
          <w:szCs w:val="32"/>
        </w:rPr>
        <w:t>)</w:t>
      </w:r>
      <w:r w:rsidR="005F24E4" w:rsidRPr="00A97415">
        <w:rPr>
          <w:rFonts w:ascii="黑体" w:eastAsia="黑体" w:hAnsi="黑体" w:hint="eastAsia"/>
          <w:sz w:val="32"/>
          <w:szCs w:val="32"/>
        </w:rPr>
        <w:t xml:space="preserve"> </w:t>
      </w:r>
      <w:r w:rsidR="006443A1" w:rsidRPr="00A97415">
        <w:rPr>
          <w:rFonts w:ascii="黑体" w:eastAsia="黑体" w:hAnsi="黑体" w:hint="eastAsia"/>
          <w:sz w:val="32"/>
          <w:szCs w:val="32"/>
        </w:rPr>
        <w:t>裁判文书上网情况</w:t>
      </w:r>
    </w:p>
    <w:p w:rsidR="00811191" w:rsidRDefault="00811191" w:rsidP="005F24E4">
      <w:pPr>
        <w:spacing w:after="0" w:line="220" w:lineRule="atLeast"/>
        <w:jc w:val="center"/>
        <w:rPr>
          <w:rFonts w:ascii="黑体" w:eastAsia="黑体" w:hAnsi="黑体"/>
          <w:sz w:val="32"/>
          <w:szCs w:val="32"/>
        </w:rPr>
      </w:pPr>
    </w:p>
    <w:p w:rsidR="006443A1" w:rsidRPr="00DB10AC" w:rsidRDefault="00DE2899" w:rsidP="005F24E4">
      <w:pPr>
        <w:spacing w:after="0" w:line="220" w:lineRule="atLeas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B10AC">
        <w:rPr>
          <w:rFonts w:ascii="仿宋" w:eastAsia="仿宋" w:hAnsi="仿宋" w:hint="eastAsia"/>
          <w:b/>
          <w:sz w:val="32"/>
          <w:szCs w:val="32"/>
        </w:rPr>
        <w:t>2019</w:t>
      </w:r>
      <w:r w:rsidR="006443A1" w:rsidRPr="00DB10AC">
        <w:rPr>
          <w:rFonts w:ascii="仿宋" w:eastAsia="仿宋" w:hAnsi="仿宋" w:hint="eastAsia"/>
          <w:b/>
          <w:sz w:val="32"/>
          <w:szCs w:val="32"/>
        </w:rPr>
        <w:t>年</w:t>
      </w:r>
      <w:r w:rsidRPr="00DB10AC">
        <w:rPr>
          <w:rFonts w:ascii="仿宋" w:eastAsia="仿宋" w:hAnsi="仿宋" w:hint="eastAsia"/>
          <w:b/>
          <w:sz w:val="32"/>
          <w:szCs w:val="32"/>
        </w:rPr>
        <w:t>1-3月</w:t>
      </w:r>
      <w:r w:rsidR="006443A1" w:rsidRPr="00DB10AC">
        <w:rPr>
          <w:rFonts w:ascii="仿宋" w:eastAsia="仿宋" w:hAnsi="仿宋" w:hint="eastAsia"/>
          <w:b/>
          <w:sz w:val="32"/>
          <w:szCs w:val="32"/>
        </w:rPr>
        <w:t>裁判文书上网率</w:t>
      </w:r>
      <w:r w:rsidR="00B25FDC" w:rsidRPr="00DB10AC">
        <w:rPr>
          <w:rFonts w:ascii="仿宋" w:eastAsia="仿宋" w:hAnsi="仿宋" w:hint="eastAsia"/>
          <w:b/>
          <w:color w:val="000000" w:themeColor="text1"/>
          <w:sz w:val="32"/>
          <w:szCs w:val="32"/>
        </w:rPr>
        <w:t>统计表</w:t>
      </w:r>
    </w:p>
    <w:tbl>
      <w:tblPr>
        <w:tblStyle w:val="a7"/>
        <w:tblW w:w="0" w:type="auto"/>
        <w:jc w:val="center"/>
        <w:tblLook w:val="04A0"/>
      </w:tblPr>
      <w:tblGrid>
        <w:gridCol w:w="1638"/>
        <w:gridCol w:w="1846"/>
        <w:gridCol w:w="1985"/>
        <w:gridCol w:w="1275"/>
        <w:gridCol w:w="1448"/>
      </w:tblGrid>
      <w:tr w:rsidR="00B25FDC" w:rsidRPr="00B25FDC" w:rsidTr="005369DB">
        <w:trPr>
          <w:trHeight w:val="498"/>
          <w:jc w:val="center"/>
        </w:trPr>
        <w:tc>
          <w:tcPr>
            <w:tcW w:w="1638" w:type="dxa"/>
          </w:tcPr>
          <w:p w:rsidR="00B25FDC" w:rsidRPr="00B25FDC" w:rsidRDefault="00B25FDC" w:rsidP="005369D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/>
                <w:sz w:val="32"/>
                <w:szCs w:val="32"/>
              </w:rPr>
              <w:t>法院</w:t>
            </w:r>
          </w:p>
        </w:tc>
        <w:tc>
          <w:tcPr>
            <w:tcW w:w="1846" w:type="dxa"/>
          </w:tcPr>
          <w:p w:rsidR="00B25FDC" w:rsidRPr="00B25FDC" w:rsidRDefault="00B25FDC" w:rsidP="005369D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/>
                <w:sz w:val="32"/>
                <w:szCs w:val="32"/>
              </w:rPr>
              <w:t>公开文书数</w:t>
            </w:r>
          </w:p>
        </w:tc>
        <w:tc>
          <w:tcPr>
            <w:tcW w:w="1985" w:type="dxa"/>
          </w:tcPr>
          <w:p w:rsidR="00B25FDC" w:rsidRPr="00B25FDC" w:rsidRDefault="00B25FDC" w:rsidP="005369D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/>
                <w:sz w:val="32"/>
                <w:szCs w:val="32"/>
              </w:rPr>
              <w:t>公开信息数</w:t>
            </w:r>
          </w:p>
        </w:tc>
        <w:tc>
          <w:tcPr>
            <w:tcW w:w="1275" w:type="dxa"/>
          </w:tcPr>
          <w:p w:rsidR="00B25FDC" w:rsidRPr="00B25FDC" w:rsidRDefault="00B25FDC" w:rsidP="005369D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/>
                <w:sz w:val="32"/>
                <w:szCs w:val="32"/>
              </w:rPr>
              <w:t>结案数</w:t>
            </w:r>
          </w:p>
        </w:tc>
        <w:tc>
          <w:tcPr>
            <w:tcW w:w="1448" w:type="dxa"/>
          </w:tcPr>
          <w:p w:rsidR="00B25FDC" w:rsidRPr="00B25FDC" w:rsidRDefault="00B25FDC" w:rsidP="005369D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/>
                <w:sz w:val="32"/>
                <w:szCs w:val="32"/>
              </w:rPr>
              <w:t>上网率</w:t>
            </w:r>
          </w:p>
        </w:tc>
      </w:tr>
      <w:tr w:rsidR="00B25FDC" w:rsidRPr="00B25FDC" w:rsidTr="005369DB">
        <w:trPr>
          <w:trHeight w:val="480"/>
          <w:jc w:val="center"/>
        </w:trPr>
        <w:tc>
          <w:tcPr>
            <w:tcW w:w="1638" w:type="dxa"/>
          </w:tcPr>
          <w:p w:rsidR="00B25FDC" w:rsidRPr="00B25FDC" w:rsidRDefault="005369DB" w:rsidP="005369D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珲春</w:t>
            </w:r>
          </w:p>
        </w:tc>
        <w:tc>
          <w:tcPr>
            <w:tcW w:w="1846" w:type="dxa"/>
          </w:tcPr>
          <w:p w:rsidR="00B25FDC" w:rsidRPr="00B25FDC" w:rsidRDefault="00B25FDC" w:rsidP="005369D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 w:hint="eastAsia"/>
                <w:sz w:val="32"/>
                <w:szCs w:val="32"/>
              </w:rPr>
              <w:t>36</w:t>
            </w:r>
          </w:p>
        </w:tc>
        <w:tc>
          <w:tcPr>
            <w:tcW w:w="1985" w:type="dxa"/>
          </w:tcPr>
          <w:p w:rsidR="00B25FDC" w:rsidRPr="00B25FDC" w:rsidRDefault="00B25FDC" w:rsidP="005369D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 w:hint="eastAsia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B25FDC" w:rsidRPr="00B25FDC" w:rsidRDefault="00B25FDC" w:rsidP="005369D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 w:hint="eastAsia"/>
                <w:sz w:val="32"/>
                <w:szCs w:val="32"/>
              </w:rPr>
              <w:t>48</w:t>
            </w:r>
          </w:p>
        </w:tc>
        <w:tc>
          <w:tcPr>
            <w:tcW w:w="1448" w:type="dxa"/>
          </w:tcPr>
          <w:p w:rsidR="00B25FDC" w:rsidRPr="00B25FDC" w:rsidRDefault="00B25FDC" w:rsidP="005369D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 w:hint="eastAsia"/>
                <w:sz w:val="32"/>
                <w:szCs w:val="32"/>
              </w:rPr>
              <w:t>83.72%</w:t>
            </w:r>
          </w:p>
        </w:tc>
      </w:tr>
    </w:tbl>
    <w:p w:rsidR="00B25FDC" w:rsidRPr="009B3704" w:rsidRDefault="00B25FDC" w:rsidP="00161267">
      <w:pPr>
        <w:spacing w:after="0" w:line="220" w:lineRule="atLeast"/>
        <w:jc w:val="both"/>
        <w:rPr>
          <w:rFonts w:asciiTheme="minorEastAsia" w:eastAsiaTheme="minorEastAsia" w:hAnsiTheme="minorEastAsia"/>
          <w:color w:val="7030A0"/>
          <w:sz w:val="32"/>
          <w:szCs w:val="32"/>
        </w:rPr>
      </w:pPr>
    </w:p>
    <w:p w:rsidR="006443A1" w:rsidRPr="00DB10AC" w:rsidRDefault="006443A1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DB10AC">
        <w:rPr>
          <w:rFonts w:ascii="黑体" w:eastAsia="黑体" w:hAnsi="黑体" w:hint="eastAsia"/>
          <w:sz w:val="32"/>
          <w:szCs w:val="32"/>
        </w:rPr>
        <w:t>（二）庭审直播数占比情况</w:t>
      </w:r>
    </w:p>
    <w:p w:rsidR="006443A1" w:rsidRPr="00DB10AC" w:rsidRDefault="00DE2899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B10AC">
        <w:rPr>
          <w:rFonts w:ascii="仿宋" w:eastAsia="仿宋" w:hAnsi="仿宋" w:hint="eastAsia"/>
          <w:sz w:val="32"/>
          <w:szCs w:val="32"/>
        </w:rPr>
        <w:t>1-3月</w:t>
      </w:r>
      <w:r w:rsidR="005D2E37" w:rsidRPr="00DB10AC">
        <w:rPr>
          <w:rFonts w:ascii="仿宋" w:eastAsia="仿宋" w:hAnsi="仿宋" w:hint="eastAsia"/>
          <w:sz w:val="32"/>
          <w:szCs w:val="32"/>
        </w:rPr>
        <w:t>应庭审直播案</w:t>
      </w:r>
      <w:r w:rsidR="005705CF" w:rsidRPr="00DB10AC">
        <w:rPr>
          <w:rFonts w:ascii="仿宋" w:eastAsia="仿宋" w:hAnsi="仿宋" w:hint="eastAsia"/>
          <w:sz w:val="32"/>
          <w:szCs w:val="32"/>
        </w:rPr>
        <w:t>14</w:t>
      </w:r>
      <w:r w:rsidR="005D2E37" w:rsidRPr="00DB10AC">
        <w:rPr>
          <w:rFonts w:ascii="仿宋" w:eastAsia="仿宋" w:hAnsi="仿宋" w:hint="eastAsia"/>
          <w:sz w:val="32"/>
          <w:szCs w:val="32"/>
        </w:rPr>
        <w:t>件，</w:t>
      </w:r>
      <w:r w:rsidR="006443A1" w:rsidRPr="00DB10AC">
        <w:rPr>
          <w:rFonts w:ascii="仿宋" w:eastAsia="仿宋" w:hAnsi="仿宋" w:hint="eastAsia"/>
          <w:sz w:val="32"/>
          <w:szCs w:val="32"/>
        </w:rPr>
        <w:t>庭审直播数</w:t>
      </w:r>
      <w:r w:rsidR="009B33C2" w:rsidRPr="00DB10AC">
        <w:rPr>
          <w:rFonts w:ascii="仿宋" w:eastAsia="仿宋" w:hAnsi="仿宋" w:hint="eastAsia"/>
          <w:sz w:val="32"/>
          <w:szCs w:val="32"/>
        </w:rPr>
        <w:t>1</w:t>
      </w:r>
      <w:r w:rsidR="009B33C2" w:rsidRPr="00DB10AC">
        <w:rPr>
          <w:rFonts w:ascii="仿宋" w:eastAsia="仿宋" w:hAnsi="仿宋"/>
          <w:sz w:val="32"/>
          <w:szCs w:val="32"/>
        </w:rPr>
        <w:t>3</w:t>
      </w:r>
      <w:r w:rsidR="00877839" w:rsidRPr="00DB10AC">
        <w:rPr>
          <w:rFonts w:ascii="仿宋" w:eastAsia="仿宋" w:hAnsi="仿宋" w:hint="eastAsia"/>
          <w:sz w:val="32"/>
          <w:szCs w:val="32"/>
        </w:rPr>
        <w:t>件，</w:t>
      </w:r>
      <w:r w:rsidR="00FE185A" w:rsidRPr="00DB10AC">
        <w:rPr>
          <w:rFonts w:ascii="仿宋" w:eastAsia="仿宋" w:hAnsi="仿宋" w:hint="eastAsia"/>
          <w:sz w:val="32"/>
          <w:szCs w:val="32"/>
        </w:rPr>
        <w:t>占受理的诉讼案件总数的</w:t>
      </w:r>
      <w:r w:rsidR="009B33C2" w:rsidRPr="00DB10AC">
        <w:rPr>
          <w:rFonts w:ascii="仿宋" w:eastAsia="仿宋" w:hAnsi="仿宋"/>
          <w:sz w:val="32"/>
          <w:szCs w:val="32"/>
        </w:rPr>
        <w:t>44.83</w:t>
      </w:r>
      <w:r w:rsidR="006443A1" w:rsidRPr="00DB10AC">
        <w:rPr>
          <w:rFonts w:ascii="仿宋" w:eastAsia="仿宋" w:hAnsi="仿宋" w:hint="eastAsia"/>
          <w:sz w:val="32"/>
          <w:szCs w:val="32"/>
        </w:rPr>
        <w:t>%。</w:t>
      </w:r>
      <w:r w:rsidR="00414BEC" w:rsidRPr="00DB10AC">
        <w:rPr>
          <w:rFonts w:ascii="仿宋" w:eastAsia="仿宋" w:hAnsi="仿宋" w:hint="eastAsia"/>
          <w:sz w:val="32"/>
          <w:szCs w:val="32"/>
        </w:rPr>
        <w:t>未直播案件1件，原因为直播视频异常，技术故障导致。</w:t>
      </w:r>
    </w:p>
    <w:p w:rsidR="0011391A" w:rsidRPr="00DB10AC" w:rsidRDefault="0011391A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 w:rsidRPr="00DB10AC">
        <w:rPr>
          <w:rFonts w:ascii="黑体" w:eastAsia="黑体" w:hAnsi="黑体" w:hint="eastAsia"/>
          <w:color w:val="000000" w:themeColor="text1"/>
          <w:sz w:val="32"/>
          <w:szCs w:val="32"/>
        </w:rPr>
        <w:t>（三）</w:t>
      </w:r>
      <w:r w:rsidR="003600FB" w:rsidRPr="00DB10AC">
        <w:rPr>
          <w:rFonts w:ascii="黑体" w:eastAsia="黑体" w:hAnsi="黑体" w:hint="eastAsia"/>
          <w:color w:val="000000" w:themeColor="text1"/>
          <w:sz w:val="32"/>
          <w:szCs w:val="32"/>
        </w:rPr>
        <w:t>卷宗归档率情况</w:t>
      </w:r>
    </w:p>
    <w:p w:rsidR="003600FB" w:rsidRPr="00DB10AC" w:rsidRDefault="003600FB" w:rsidP="00186B3D">
      <w:pPr>
        <w:spacing w:after="0" w:line="220" w:lineRule="atLeast"/>
        <w:ind w:firstLineChars="250" w:firstLine="80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B10AC">
        <w:rPr>
          <w:rFonts w:ascii="仿宋" w:eastAsia="仿宋" w:hAnsi="仿宋" w:hint="eastAsia"/>
          <w:sz w:val="32"/>
          <w:szCs w:val="32"/>
        </w:rPr>
        <w:t>1-3月珲春林区基层法院</w:t>
      </w:r>
      <w:r w:rsidRPr="00DB10AC">
        <w:rPr>
          <w:rFonts w:ascii="仿宋" w:eastAsia="仿宋" w:hAnsi="仿宋" w:hint="eastAsia"/>
          <w:color w:val="000000" w:themeColor="text1"/>
          <w:sz w:val="32"/>
          <w:szCs w:val="32"/>
        </w:rPr>
        <w:t>卷宗</w:t>
      </w:r>
      <w:r w:rsidRPr="00DB10AC">
        <w:rPr>
          <w:rFonts w:ascii="仿宋" w:eastAsia="仿宋" w:hAnsi="仿宋" w:hint="eastAsia"/>
          <w:sz w:val="32"/>
          <w:szCs w:val="32"/>
        </w:rPr>
        <w:t>归档率</w:t>
      </w:r>
      <w:r w:rsidR="000B14FC" w:rsidRPr="00DB10AC">
        <w:rPr>
          <w:rFonts w:ascii="仿宋" w:eastAsia="仿宋" w:hAnsi="仿宋"/>
          <w:sz w:val="32"/>
          <w:szCs w:val="32"/>
        </w:rPr>
        <w:t>79.17</w:t>
      </w:r>
      <w:r w:rsidRPr="00DB10AC">
        <w:rPr>
          <w:rFonts w:ascii="仿宋" w:eastAsia="仿宋" w:hAnsi="仿宋" w:hint="eastAsia"/>
          <w:sz w:val="32"/>
          <w:szCs w:val="32"/>
        </w:rPr>
        <w:t>%</w:t>
      </w:r>
      <w:r w:rsidR="007A2F9D" w:rsidRPr="00DB10AC">
        <w:rPr>
          <w:rFonts w:ascii="仿宋" w:eastAsia="仿宋" w:hAnsi="仿宋" w:hint="eastAsia"/>
          <w:sz w:val="32"/>
          <w:szCs w:val="32"/>
        </w:rPr>
        <w:t>。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1"/>
        <w:gridCol w:w="473"/>
        <w:gridCol w:w="410"/>
        <w:gridCol w:w="442"/>
        <w:gridCol w:w="420"/>
        <w:gridCol w:w="420"/>
        <w:gridCol w:w="385"/>
        <w:gridCol w:w="432"/>
        <w:gridCol w:w="669"/>
        <w:gridCol w:w="420"/>
        <w:gridCol w:w="1134"/>
        <w:gridCol w:w="420"/>
        <w:gridCol w:w="420"/>
        <w:gridCol w:w="436"/>
        <w:gridCol w:w="420"/>
        <w:gridCol w:w="420"/>
        <w:gridCol w:w="420"/>
        <w:gridCol w:w="270"/>
      </w:tblGrid>
      <w:tr w:rsidR="00EA22C9" w:rsidRPr="00DB10AC" w:rsidTr="00A56BBF">
        <w:trPr>
          <w:tblCellSpacing w:w="0" w:type="dxa"/>
          <w:jc w:val="center"/>
        </w:trPr>
        <w:tc>
          <w:tcPr>
            <w:tcW w:w="20970" w:type="dxa"/>
            <w:gridSpan w:val="18"/>
            <w:shd w:val="clear" w:color="auto" w:fill="FFFFFF"/>
            <w:vAlign w:val="center"/>
            <w:hideMark/>
          </w:tcPr>
          <w:p w:rsidR="009919E2" w:rsidRPr="00DB10AC" w:rsidRDefault="00186B3D" w:rsidP="00960A2A">
            <w:pPr>
              <w:ind w:firstLineChars="200" w:firstLine="640"/>
              <w:rPr>
                <w:rFonts w:ascii="仿宋" w:eastAsia="仿宋" w:hAnsi="仿宋"/>
              </w:rPr>
            </w:pPr>
            <w:r w:rsidRPr="00DB10AC">
              <w:rPr>
                <w:rFonts w:ascii="仿宋" w:eastAsia="仿宋" w:hAnsi="仿宋" w:hint="eastAsia"/>
                <w:sz w:val="32"/>
                <w:szCs w:val="32"/>
              </w:rPr>
              <w:t>未归档</w:t>
            </w:r>
            <w:r w:rsidR="000B14FC" w:rsidRPr="00DB10AC">
              <w:rPr>
                <w:rFonts w:ascii="仿宋" w:eastAsia="仿宋" w:hAnsi="仿宋"/>
                <w:sz w:val="32"/>
                <w:szCs w:val="32"/>
              </w:rPr>
              <w:t>5</w:t>
            </w:r>
            <w:r w:rsidRPr="00DB10AC">
              <w:rPr>
                <w:rFonts w:ascii="仿宋" w:eastAsia="仿宋" w:hAnsi="仿宋" w:hint="eastAsia"/>
                <w:sz w:val="32"/>
                <w:szCs w:val="32"/>
              </w:rPr>
              <w:t>件：</w:t>
            </w:r>
            <w:r w:rsidR="00A57E44" w:rsidRPr="00DB10AC">
              <w:rPr>
                <w:rFonts w:ascii="仿宋" w:eastAsia="仿宋" w:hAnsi="仿宋" w:hint="eastAsia"/>
                <w:sz w:val="32"/>
                <w:szCs w:val="32"/>
              </w:rPr>
              <w:t>结案后3个月内未归档</w:t>
            </w:r>
            <w:r w:rsidR="000B14FC" w:rsidRPr="00DB10AC">
              <w:rPr>
                <w:rFonts w:ascii="仿宋" w:eastAsia="仿宋" w:hAnsi="仿宋"/>
                <w:sz w:val="32"/>
                <w:szCs w:val="32"/>
              </w:rPr>
              <w:t>5</w:t>
            </w:r>
            <w:r w:rsidR="00A57E44" w:rsidRPr="00DB10AC">
              <w:rPr>
                <w:rFonts w:ascii="仿宋" w:eastAsia="仿宋" w:hAnsi="仿宋" w:hint="eastAsia"/>
                <w:sz w:val="32"/>
                <w:szCs w:val="32"/>
              </w:rPr>
              <w:t>件，刑事</w:t>
            </w:r>
            <w:r w:rsidR="00580FB7" w:rsidRPr="00DB10AC">
              <w:rPr>
                <w:rFonts w:ascii="仿宋" w:eastAsia="仿宋" w:hAnsi="仿宋"/>
                <w:sz w:val="32"/>
                <w:szCs w:val="32"/>
              </w:rPr>
              <w:t>5</w:t>
            </w:r>
            <w:r w:rsidR="00A57E44" w:rsidRPr="00DB10AC">
              <w:rPr>
                <w:rFonts w:ascii="仿宋" w:eastAsia="仿宋" w:hAnsi="仿宋" w:hint="eastAsia"/>
                <w:sz w:val="32"/>
                <w:szCs w:val="32"/>
              </w:rPr>
              <w:t>件</w:t>
            </w:r>
            <w:r w:rsidR="00960A2A" w:rsidRPr="00DB10AC">
              <w:rPr>
                <w:rFonts w:ascii="仿宋" w:eastAsia="仿宋" w:hAnsi="仿宋" w:hint="eastAsia"/>
                <w:sz w:val="32"/>
                <w:szCs w:val="32"/>
              </w:rPr>
              <w:t>(未生效)</w:t>
            </w:r>
            <w:r w:rsidR="00574E75" w:rsidRPr="00DB10AC"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12"/>
            </w:tblGrid>
            <w:tr w:rsidR="00EA22C9" w:rsidRPr="00DB10AC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A57E44" w:rsidRPr="00DB10AC" w:rsidRDefault="00A57E44" w:rsidP="009919E2">
                  <w:pPr>
                    <w:adjustRightInd/>
                    <w:snapToGrid/>
                    <w:spacing w:after="0"/>
                    <w:jc w:val="center"/>
                    <w:rPr>
                      <w:rFonts w:ascii="仿宋" w:eastAsia="仿宋" w:hAnsi="仿宋" w:cs="Tahoma"/>
                      <w:b/>
                      <w:bCs/>
                      <w:sz w:val="24"/>
                      <w:szCs w:val="24"/>
                    </w:rPr>
                  </w:pPr>
                </w:p>
                <w:p w:rsidR="00CF3E69" w:rsidRDefault="00CF3E69" w:rsidP="00811191">
                  <w:pPr>
                    <w:adjustRightInd/>
                    <w:snapToGrid/>
                    <w:spacing w:after="0"/>
                    <w:ind w:firstLineChars="700" w:firstLine="2249"/>
                    <w:rPr>
                      <w:rFonts w:ascii="仿宋" w:eastAsia="仿宋" w:hAnsi="仿宋" w:cs="Tahoma"/>
                      <w:b/>
                      <w:bCs/>
                      <w:sz w:val="32"/>
                      <w:szCs w:val="32"/>
                    </w:rPr>
                  </w:pPr>
                </w:p>
                <w:p w:rsidR="00EA22C9" w:rsidRPr="00DB10AC" w:rsidRDefault="00EA22C9" w:rsidP="00811191">
                  <w:pPr>
                    <w:adjustRightInd/>
                    <w:snapToGrid/>
                    <w:spacing w:after="0"/>
                    <w:ind w:firstLineChars="700" w:firstLine="2249"/>
                    <w:rPr>
                      <w:rFonts w:ascii="仿宋" w:eastAsia="仿宋" w:hAnsi="仿宋" w:cs="Tahoma"/>
                      <w:b/>
                      <w:bCs/>
                      <w:sz w:val="32"/>
                      <w:szCs w:val="32"/>
                    </w:rPr>
                  </w:pPr>
                  <w:r w:rsidRPr="00DB10AC">
                    <w:rPr>
                      <w:rFonts w:ascii="仿宋" w:eastAsia="仿宋" w:hAnsi="仿宋" w:cs="Tahoma" w:hint="eastAsia"/>
                      <w:b/>
                      <w:bCs/>
                      <w:sz w:val="32"/>
                      <w:szCs w:val="32"/>
                    </w:rPr>
                    <w:t>珲春林区基层法院归档统计</w:t>
                  </w:r>
                </w:p>
              </w:tc>
            </w:tr>
          </w:tbl>
          <w:p w:rsidR="00EA22C9" w:rsidRPr="00DB10AC" w:rsidRDefault="00EA22C9" w:rsidP="00161267">
            <w:pPr>
              <w:adjustRightInd/>
              <w:snapToGrid/>
              <w:spacing w:after="0"/>
              <w:jc w:val="both"/>
              <w:rPr>
                <w:rFonts w:ascii="仿宋" w:eastAsia="仿宋" w:hAnsi="仿宋" w:cs="Tahoma"/>
                <w:sz w:val="18"/>
                <w:szCs w:val="18"/>
              </w:rPr>
            </w:pPr>
          </w:p>
        </w:tc>
      </w:tr>
      <w:tr w:rsidR="00EA22C9" w:rsidRPr="00B832F0" w:rsidTr="00A56BBF">
        <w:trPr>
          <w:tblCellSpacing w:w="0" w:type="dxa"/>
          <w:jc w:val="center"/>
        </w:trPr>
        <w:tc>
          <w:tcPr>
            <w:tcW w:w="19710" w:type="dxa"/>
            <w:gridSpan w:val="17"/>
            <w:shd w:val="clear" w:color="auto" w:fill="FFFFFF"/>
            <w:vAlign w:val="center"/>
            <w:hideMark/>
          </w:tcPr>
          <w:p w:rsidR="00CF3E69" w:rsidRDefault="00CF3E69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42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9919E2">
                  <w:pPr>
                    <w:adjustRightInd/>
                    <w:snapToGrid/>
                    <w:spacing w:after="0"/>
                    <w:ind w:firstLineChars="2250" w:firstLine="4500"/>
                    <w:jc w:val="both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统计日期：2019-01-01到2019-03-31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</w:tr>
      <w:tr w:rsidR="00EE53D7" w:rsidRPr="00B832F0" w:rsidTr="00A56BBF">
        <w:trPr>
          <w:tblCellSpacing w:w="0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1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8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7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上诉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2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应归档案件数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4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59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归档案件中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未归档案件中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272" w:rsidRPr="00B25FDC" w:rsidTr="00A56BBF">
        <w:trPr>
          <w:tblCellSpacing w:w="0" w:type="dxa"/>
          <w:jc w:val="center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1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20"/>
                      <w:szCs w:val="20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20"/>
                      <w:szCs w:val="20"/>
                    </w:rPr>
                    <w:t>序号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8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20"/>
                      <w:szCs w:val="20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20"/>
                      <w:szCs w:val="20"/>
                    </w:rPr>
                    <w:t>法院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20"/>
                      <w:szCs w:val="20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20"/>
                      <w:szCs w:val="20"/>
                    </w:rPr>
                    <w:t>结案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7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20"/>
                      <w:szCs w:val="20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20"/>
                      <w:szCs w:val="20"/>
                    </w:rPr>
                    <w:t>归档总数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上诉未归档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上诉已归档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0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未归档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7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已归档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4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归档率 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归档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9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noWrap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结案后3个月</w:t>
                  </w: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br/>
                    <w:t>内归档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结案后6个月内归档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结案后超过6个月归档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20"/>
                      <w:szCs w:val="20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20"/>
                      <w:szCs w:val="20"/>
                    </w:rPr>
                    <w:t>未归档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结案后3个月内未归档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结案后6个月内未归档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结案后超过6个月未归档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272" w:rsidRPr="00B25FDC" w:rsidTr="00A56BBF">
        <w:trPr>
          <w:tblCellSpacing w:w="0" w:type="dxa"/>
          <w:jc w:val="center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1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8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4C4130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hyperlink r:id="rId13" w:history="1">
                    <w:r w:rsidR="00EA22C9" w:rsidRPr="00095201">
                      <w:rPr>
                        <w:rFonts w:ascii="宋体" w:eastAsia="宋体" w:hAnsi="宋体" w:cs="Tahoma" w:hint="eastAsia"/>
                        <w:sz w:val="20"/>
                      </w:rPr>
                      <w:t>珲春林区基层法院</w:t>
                    </w:r>
                  </w:hyperlink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4C4130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hyperlink r:id="rId14" w:history="1">
                    <w:r w:rsidR="00EA22C9" w:rsidRPr="00095201">
                      <w:rPr>
                        <w:rFonts w:ascii="宋体" w:eastAsia="宋体" w:hAnsi="宋体" w:cs="Tahoma" w:hint="eastAsia"/>
                        <w:sz w:val="20"/>
                      </w:rPr>
                      <w:t>24</w:t>
                    </w:r>
                  </w:hyperlink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7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EE53D7" w:rsidP="00A57E44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 w:rsidRPr="00095201">
                    <w:rPr>
                      <w:rFonts w:hint="eastAsia"/>
                    </w:rPr>
                    <w:t>1</w:t>
                  </w:r>
                  <w:r w:rsidR="001D1272" w:rsidRPr="00095201">
                    <w:t>8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EE53D7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4C4130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hyperlink r:id="rId15" w:history="1">
                    <w:r w:rsidR="00EA22C9" w:rsidRPr="00095201">
                      <w:rPr>
                        <w:rFonts w:ascii="宋体" w:eastAsia="宋体" w:hAnsi="宋体" w:cs="Tahoma" w:hint="eastAsia"/>
                        <w:sz w:val="18"/>
                      </w:rPr>
                      <w:t>1</w:t>
                    </w:r>
                  </w:hyperlink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0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1D1272" w:rsidP="00A57E44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t>6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7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A57E44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hint="eastAsia"/>
                    </w:rPr>
                    <w:t>1</w:t>
                  </w:r>
                  <w:r w:rsidR="001D1272" w:rsidRPr="00095201">
                    <w:t>7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4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1D1272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/>
                      <w:sz w:val="18"/>
                      <w:szCs w:val="18"/>
                    </w:rPr>
                    <w:t>75.00</w:t>
                  </w:r>
                  <w:r w:rsidR="00EA22C9" w:rsidRPr="00095201"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4C4130" w:rsidP="00EE53D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hyperlink r:id="rId16" w:history="1">
                    <w:r w:rsidR="00EE53D7" w:rsidRPr="00095201">
                      <w:rPr>
                        <w:rFonts w:ascii="宋体" w:eastAsia="宋体" w:hAnsi="宋体" w:cs="Tahoma" w:hint="eastAsia"/>
                        <w:sz w:val="18"/>
                      </w:rPr>
                      <w:t>18</w:t>
                    </w:r>
                  </w:hyperlink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9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E53D7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hint="eastAsia"/>
                    </w:rPr>
                    <w:t>18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1D1272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 w:rsidRPr="00095201">
                    <w:t>6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1D1272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t>6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3D7" w:rsidRPr="00B25FDC" w:rsidTr="00A56BBF">
        <w:trPr>
          <w:tblCellSpacing w:w="0" w:type="dxa"/>
          <w:jc w:val="center"/>
        </w:trPr>
        <w:tc>
          <w:tcPr>
            <w:tcW w:w="20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4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总计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24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7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1D1272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 w:rsidRPr="00095201">
                    <w:rPr>
                      <w:rFonts w:ascii="宋体" w:eastAsia="宋体" w:hAnsi="宋体" w:cs="Tahoma"/>
                      <w:sz w:val="20"/>
                      <w:szCs w:val="20"/>
                    </w:rPr>
                    <w:t>1</w:t>
                  </w:r>
                  <w:r w:rsidR="000B14FC" w:rsidRPr="00095201">
                    <w:rPr>
                      <w:rFonts w:ascii="宋体" w:eastAsia="宋体" w:hAnsi="宋体" w:cs="Tahoma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0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0B14FC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7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0B14FC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/>
                      <w:sz w:val="18"/>
                      <w:szCs w:val="18"/>
                    </w:rPr>
                    <w:t>18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4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0B14FC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/>
                      <w:sz w:val="18"/>
                      <w:szCs w:val="18"/>
                    </w:rPr>
                    <w:t>79.17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0B14FC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/>
                      <w:sz w:val="18"/>
                      <w:szCs w:val="18"/>
                    </w:rPr>
                    <w:t>19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9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1</w:t>
                  </w:r>
                  <w:r w:rsidR="000B14FC" w:rsidRPr="00095201">
                    <w:rPr>
                      <w:rFonts w:ascii="宋体" w:eastAsia="宋体" w:hAnsi="宋体" w:cs="Tahoma"/>
                      <w:sz w:val="18"/>
                      <w:szCs w:val="18"/>
                    </w:rPr>
                    <w:t>9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0B14FC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 w:rsidRPr="00095201">
                    <w:rPr>
                      <w:rFonts w:ascii="宋体" w:eastAsia="宋体" w:hAnsi="宋体" w:cs="Tahoma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0B14FC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</w:tblGrid>
            <w:tr w:rsidR="00EA22C9" w:rsidRPr="00095201" w:rsidTr="00A56BB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6B3D" w:rsidRDefault="00186B3D" w:rsidP="00186B3D">
      <w:pPr>
        <w:spacing w:after="0" w:line="220" w:lineRule="atLeast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CF3E69" w:rsidRDefault="00CF3E69" w:rsidP="00CF3E69">
      <w:pPr>
        <w:spacing w:after="0" w:line="220" w:lineRule="atLeast"/>
        <w:ind w:firstLineChars="200" w:firstLine="643"/>
        <w:jc w:val="both"/>
        <w:rPr>
          <w:rFonts w:asciiTheme="minorEastAsia" w:eastAsiaTheme="minorEastAsia" w:hAnsiTheme="minorEastAsia"/>
          <w:b/>
          <w:sz w:val="32"/>
          <w:szCs w:val="32"/>
        </w:rPr>
      </w:pPr>
    </w:p>
    <w:p w:rsidR="00CF3E69" w:rsidRDefault="00CF3E69" w:rsidP="00CF3E69">
      <w:pPr>
        <w:spacing w:after="0" w:line="220" w:lineRule="atLeast"/>
        <w:ind w:firstLineChars="200" w:firstLine="643"/>
        <w:jc w:val="both"/>
        <w:rPr>
          <w:rFonts w:asciiTheme="minorEastAsia" w:eastAsiaTheme="minorEastAsia" w:hAnsiTheme="minorEastAsia"/>
          <w:b/>
          <w:sz w:val="32"/>
          <w:szCs w:val="32"/>
        </w:rPr>
      </w:pPr>
    </w:p>
    <w:p w:rsidR="00186B3D" w:rsidRPr="00DB10AC" w:rsidRDefault="00E5357C" w:rsidP="00CF3E69">
      <w:pPr>
        <w:spacing w:after="0" w:line="220" w:lineRule="atLeast"/>
        <w:ind w:firstLineChars="200" w:firstLine="643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 w:rsidRPr="00DB10AC">
        <w:rPr>
          <w:rFonts w:asciiTheme="minorEastAsia" w:eastAsiaTheme="minorEastAsia" w:hAnsiTheme="minorEastAsia" w:hint="eastAsia"/>
          <w:b/>
          <w:sz w:val="32"/>
          <w:szCs w:val="32"/>
        </w:rPr>
        <w:t>六</w:t>
      </w:r>
      <w:r w:rsidR="00B263BC" w:rsidRPr="00DB10AC">
        <w:rPr>
          <w:rFonts w:asciiTheme="minorEastAsia" w:eastAsiaTheme="minorEastAsia" w:hAnsiTheme="minorEastAsia" w:hint="eastAsia"/>
          <w:b/>
          <w:sz w:val="32"/>
          <w:szCs w:val="32"/>
        </w:rPr>
        <w:t>、法官办案情况</w:t>
      </w:r>
    </w:p>
    <w:p w:rsidR="00B263BC" w:rsidRPr="00DB10AC" w:rsidRDefault="00B263BC" w:rsidP="00161267">
      <w:pPr>
        <w:spacing w:after="0" w:line="220" w:lineRule="atLeast"/>
        <w:ind w:firstLine="630"/>
        <w:jc w:val="both"/>
        <w:rPr>
          <w:rFonts w:ascii="仿宋" w:eastAsia="仿宋" w:hAnsi="仿宋"/>
          <w:sz w:val="32"/>
          <w:szCs w:val="32"/>
        </w:rPr>
      </w:pPr>
      <w:r w:rsidRPr="00DB10AC">
        <w:rPr>
          <w:rFonts w:ascii="仿宋" w:eastAsia="仿宋" w:hAnsi="仿宋"/>
          <w:sz w:val="32"/>
          <w:szCs w:val="32"/>
        </w:rPr>
        <w:t>我院共有员额法官</w:t>
      </w:r>
      <w:r w:rsidRPr="00DB10AC">
        <w:rPr>
          <w:rFonts w:ascii="仿宋" w:eastAsia="仿宋" w:hAnsi="仿宋" w:hint="eastAsia"/>
          <w:sz w:val="32"/>
          <w:szCs w:val="32"/>
        </w:rPr>
        <w:t>13</w:t>
      </w:r>
      <w:r w:rsidR="00F70C78" w:rsidRPr="00DB10AC">
        <w:rPr>
          <w:rFonts w:ascii="仿宋" w:eastAsia="仿宋" w:hAnsi="仿宋" w:hint="eastAsia"/>
          <w:sz w:val="32"/>
          <w:szCs w:val="32"/>
        </w:rPr>
        <w:t>人，</w:t>
      </w:r>
      <w:r w:rsidRPr="00DB10AC">
        <w:rPr>
          <w:rFonts w:ascii="仿宋" w:eastAsia="仿宋" w:hAnsi="仿宋" w:hint="eastAsia"/>
          <w:sz w:val="32"/>
          <w:szCs w:val="32"/>
        </w:rPr>
        <w:t>院领导4</w:t>
      </w:r>
      <w:r w:rsidR="00F70C78" w:rsidRPr="00DB10AC">
        <w:rPr>
          <w:rFonts w:ascii="仿宋" w:eastAsia="仿宋" w:hAnsi="仿宋" w:hint="eastAsia"/>
          <w:sz w:val="32"/>
          <w:szCs w:val="32"/>
        </w:rPr>
        <w:t>人，</w:t>
      </w:r>
      <w:r w:rsidRPr="00DB10AC">
        <w:rPr>
          <w:rFonts w:ascii="仿宋" w:eastAsia="仿宋" w:hAnsi="仿宋" w:hint="eastAsia"/>
          <w:sz w:val="32"/>
          <w:szCs w:val="32"/>
        </w:rPr>
        <w:t>审结5件，参审案件4</w:t>
      </w:r>
      <w:r w:rsidR="00317347" w:rsidRPr="00DB10AC">
        <w:rPr>
          <w:rFonts w:ascii="仿宋" w:eastAsia="仿宋" w:hAnsi="仿宋" w:hint="eastAsia"/>
          <w:sz w:val="32"/>
          <w:szCs w:val="32"/>
        </w:rPr>
        <w:t>件；庭长4人</w:t>
      </w:r>
      <w:r w:rsidRPr="00DB10AC">
        <w:rPr>
          <w:rFonts w:ascii="仿宋" w:eastAsia="仿宋" w:hAnsi="仿宋" w:hint="eastAsia"/>
          <w:sz w:val="32"/>
          <w:szCs w:val="32"/>
        </w:rPr>
        <w:t>，</w:t>
      </w:r>
      <w:r w:rsidR="00317347" w:rsidRPr="00DB10AC">
        <w:rPr>
          <w:rFonts w:ascii="仿宋" w:eastAsia="仿宋" w:hAnsi="仿宋" w:hint="eastAsia"/>
          <w:sz w:val="32"/>
          <w:szCs w:val="32"/>
        </w:rPr>
        <w:t>审结案件</w:t>
      </w:r>
      <w:r w:rsidR="00574E75" w:rsidRPr="00DB10AC">
        <w:rPr>
          <w:rFonts w:ascii="仿宋" w:eastAsia="仿宋" w:hAnsi="仿宋" w:hint="eastAsia"/>
          <w:sz w:val="32"/>
          <w:szCs w:val="32"/>
        </w:rPr>
        <w:t>16</w:t>
      </w:r>
      <w:r w:rsidR="00F70C78" w:rsidRPr="00DB10AC">
        <w:rPr>
          <w:rFonts w:ascii="仿宋" w:eastAsia="仿宋" w:hAnsi="仿宋" w:hint="eastAsia"/>
          <w:sz w:val="32"/>
          <w:szCs w:val="32"/>
        </w:rPr>
        <w:t xml:space="preserve">  </w:t>
      </w:r>
      <w:r w:rsidR="00317347" w:rsidRPr="00DB10AC">
        <w:rPr>
          <w:rFonts w:ascii="仿宋" w:eastAsia="仿宋" w:hAnsi="仿宋" w:hint="eastAsia"/>
          <w:sz w:val="32"/>
          <w:szCs w:val="32"/>
        </w:rPr>
        <w:t>件；</w:t>
      </w:r>
      <w:r w:rsidR="00F70C78" w:rsidRPr="00DB10AC">
        <w:rPr>
          <w:rFonts w:ascii="仿宋" w:eastAsia="仿宋" w:hAnsi="仿宋" w:hint="eastAsia"/>
          <w:sz w:val="32"/>
          <w:szCs w:val="32"/>
        </w:rPr>
        <w:t>其他</w:t>
      </w:r>
      <w:r w:rsidRPr="00DB10AC">
        <w:rPr>
          <w:rFonts w:ascii="仿宋" w:eastAsia="仿宋" w:hAnsi="仿宋" w:hint="eastAsia"/>
          <w:sz w:val="32"/>
          <w:szCs w:val="32"/>
        </w:rPr>
        <w:t>员额法官</w:t>
      </w:r>
      <w:r w:rsidR="00F70C78" w:rsidRPr="00DB10AC">
        <w:rPr>
          <w:rFonts w:ascii="仿宋" w:eastAsia="仿宋" w:hAnsi="仿宋" w:hint="eastAsia"/>
          <w:sz w:val="32"/>
          <w:szCs w:val="32"/>
        </w:rPr>
        <w:t>5人，</w:t>
      </w:r>
      <w:r w:rsidRPr="00DB10AC">
        <w:rPr>
          <w:rFonts w:ascii="仿宋" w:eastAsia="仿宋" w:hAnsi="仿宋" w:hint="eastAsia"/>
          <w:sz w:val="32"/>
          <w:szCs w:val="32"/>
        </w:rPr>
        <w:t>审结</w:t>
      </w:r>
      <w:r w:rsidR="00F70C78" w:rsidRPr="00DB10AC">
        <w:rPr>
          <w:rFonts w:ascii="仿宋" w:eastAsia="仿宋" w:hAnsi="仿宋" w:hint="eastAsia"/>
          <w:sz w:val="32"/>
          <w:szCs w:val="32"/>
        </w:rPr>
        <w:t xml:space="preserve"> </w:t>
      </w:r>
      <w:r w:rsidR="00574E75" w:rsidRPr="00DB10AC">
        <w:rPr>
          <w:rFonts w:ascii="仿宋" w:eastAsia="仿宋" w:hAnsi="仿宋" w:hint="eastAsia"/>
          <w:sz w:val="32"/>
          <w:szCs w:val="32"/>
        </w:rPr>
        <w:t xml:space="preserve">31 </w:t>
      </w:r>
      <w:r w:rsidRPr="00DB10AC">
        <w:rPr>
          <w:rFonts w:ascii="仿宋" w:eastAsia="仿宋" w:hAnsi="仿宋" w:hint="eastAsia"/>
          <w:sz w:val="32"/>
          <w:szCs w:val="32"/>
        </w:rPr>
        <w:t>件。</w:t>
      </w:r>
    </w:p>
    <w:p w:rsidR="006443A1" w:rsidRPr="00DB10AC" w:rsidRDefault="00B263BC" w:rsidP="00DB10AC">
      <w:pPr>
        <w:spacing w:after="0" w:line="220" w:lineRule="atLeast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DB10AC">
        <w:rPr>
          <w:rFonts w:asciiTheme="majorEastAsia" w:eastAsiaTheme="majorEastAsia" w:hAnsiTheme="majorEastAsia" w:hint="eastAsia"/>
          <w:b/>
          <w:sz w:val="32"/>
          <w:szCs w:val="32"/>
        </w:rPr>
        <w:t>七</w:t>
      </w:r>
      <w:r w:rsidR="006443A1" w:rsidRPr="00DB10AC">
        <w:rPr>
          <w:rFonts w:asciiTheme="majorEastAsia" w:eastAsiaTheme="majorEastAsia" w:hAnsiTheme="majorEastAsia" w:hint="eastAsia"/>
          <w:b/>
          <w:sz w:val="32"/>
          <w:szCs w:val="32"/>
        </w:rPr>
        <w:t>、</w:t>
      </w:r>
      <w:r w:rsidR="00DE2899" w:rsidRPr="00DB10AC">
        <w:rPr>
          <w:rFonts w:asciiTheme="majorEastAsia" w:eastAsiaTheme="majorEastAsia" w:hAnsiTheme="majorEastAsia" w:hint="eastAsia"/>
          <w:b/>
          <w:sz w:val="32"/>
          <w:szCs w:val="32"/>
        </w:rPr>
        <w:t>智慧法院建设与应用</w:t>
      </w:r>
      <w:r w:rsidR="00F70C78" w:rsidRPr="00DB10AC">
        <w:rPr>
          <w:rFonts w:asciiTheme="majorEastAsia" w:eastAsiaTheme="majorEastAsia" w:hAnsiTheme="majorEastAsia" w:hint="eastAsia"/>
          <w:b/>
          <w:sz w:val="32"/>
          <w:szCs w:val="32"/>
        </w:rPr>
        <w:t>情况</w:t>
      </w:r>
    </w:p>
    <w:p w:rsidR="006443A1" w:rsidRPr="00DB10AC" w:rsidRDefault="006443A1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DB10AC">
        <w:rPr>
          <w:rFonts w:ascii="黑体" w:eastAsia="黑体" w:hAnsi="黑体" w:hint="eastAsia"/>
          <w:sz w:val="32"/>
          <w:szCs w:val="32"/>
        </w:rPr>
        <w:t>（一）网上立案情况</w:t>
      </w:r>
    </w:p>
    <w:p w:rsidR="006443A1" w:rsidRPr="00DB10AC" w:rsidRDefault="00DE2899" w:rsidP="00F70C78">
      <w:pPr>
        <w:spacing w:after="0" w:line="220" w:lineRule="atLeast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 w:rsidRPr="00DB10AC">
        <w:rPr>
          <w:rFonts w:ascii="仿宋" w:eastAsia="仿宋" w:hAnsi="仿宋" w:hint="eastAsia"/>
          <w:sz w:val="32"/>
          <w:szCs w:val="32"/>
        </w:rPr>
        <w:t>1-3月</w:t>
      </w:r>
      <w:r w:rsidR="006443A1" w:rsidRPr="00DB10AC">
        <w:rPr>
          <w:rFonts w:ascii="仿宋" w:eastAsia="仿宋" w:hAnsi="仿宋" w:hint="eastAsia"/>
          <w:sz w:val="32"/>
          <w:szCs w:val="32"/>
        </w:rPr>
        <w:t>民事一审案件网上立案</w:t>
      </w:r>
      <w:r w:rsidR="008C708B" w:rsidRPr="00DB10AC">
        <w:rPr>
          <w:rFonts w:ascii="仿宋" w:eastAsia="仿宋" w:hAnsi="仿宋"/>
          <w:sz w:val="32"/>
          <w:szCs w:val="32"/>
        </w:rPr>
        <w:t>10</w:t>
      </w:r>
      <w:r w:rsidR="008C708B" w:rsidRPr="00DB10AC">
        <w:rPr>
          <w:rFonts w:ascii="仿宋" w:eastAsia="仿宋" w:hAnsi="仿宋" w:hint="eastAsia"/>
          <w:sz w:val="32"/>
          <w:szCs w:val="32"/>
        </w:rPr>
        <w:t>件，网上立案</w:t>
      </w:r>
      <w:r w:rsidR="006443A1" w:rsidRPr="00DB10AC">
        <w:rPr>
          <w:rFonts w:ascii="仿宋" w:eastAsia="仿宋" w:hAnsi="仿宋" w:hint="eastAsia"/>
          <w:sz w:val="32"/>
          <w:szCs w:val="32"/>
        </w:rPr>
        <w:t>率为</w:t>
      </w:r>
      <w:r w:rsidR="008C708B" w:rsidRPr="00DB10AC">
        <w:rPr>
          <w:rFonts w:ascii="仿宋" w:eastAsia="仿宋" w:hAnsi="仿宋"/>
          <w:sz w:val="32"/>
          <w:szCs w:val="32"/>
        </w:rPr>
        <w:t>83.33</w:t>
      </w:r>
      <w:r w:rsidR="006443A1" w:rsidRPr="00DB10AC">
        <w:rPr>
          <w:rFonts w:ascii="仿宋" w:eastAsia="仿宋" w:hAnsi="仿宋" w:hint="eastAsia"/>
          <w:sz w:val="32"/>
          <w:szCs w:val="32"/>
        </w:rPr>
        <w:t>%；行政一审案件网上立案率为0.00%。</w:t>
      </w:r>
    </w:p>
    <w:p w:rsidR="006443A1" w:rsidRPr="00DB10AC" w:rsidRDefault="006443A1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DB10AC">
        <w:rPr>
          <w:rFonts w:ascii="黑体" w:eastAsia="黑体" w:hAnsi="黑体" w:hint="eastAsia"/>
          <w:sz w:val="32"/>
          <w:szCs w:val="32"/>
        </w:rPr>
        <w:t>（二）网上证据交换使用率情况</w:t>
      </w:r>
    </w:p>
    <w:p w:rsidR="006443A1" w:rsidRPr="00DB10AC" w:rsidRDefault="00DE2899" w:rsidP="00F70C78">
      <w:pPr>
        <w:spacing w:after="0" w:line="220" w:lineRule="atLeast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 w:rsidRPr="00DB10AC">
        <w:rPr>
          <w:rFonts w:ascii="仿宋" w:eastAsia="仿宋" w:hAnsi="仿宋" w:hint="eastAsia"/>
          <w:sz w:val="32"/>
          <w:szCs w:val="32"/>
        </w:rPr>
        <w:t>1-3</w:t>
      </w:r>
      <w:r w:rsidR="00F70C78" w:rsidRPr="00DB10AC">
        <w:rPr>
          <w:rFonts w:ascii="仿宋" w:eastAsia="仿宋" w:hAnsi="仿宋" w:hint="eastAsia"/>
          <w:sz w:val="32"/>
          <w:szCs w:val="32"/>
        </w:rPr>
        <w:t>月</w:t>
      </w:r>
      <w:r w:rsidR="006443A1" w:rsidRPr="00DB10AC">
        <w:rPr>
          <w:rFonts w:ascii="仿宋" w:eastAsia="仿宋" w:hAnsi="仿宋" w:hint="eastAsia"/>
          <w:sz w:val="32"/>
          <w:szCs w:val="32"/>
        </w:rPr>
        <w:t>网上证据交换率为</w:t>
      </w:r>
      <w:r w:rsidR="002720E9" w:rsidRPr="00DB10AC">
        <w:rPr>
          <w:rFonts w:ascii="仿宋" w:eastAsia="仿宋" w:hAnsi="仿宋" w:hint="eastAsia"/>
          <w:sz w:val="32"/>
          <w:szCs w:val="32"/>
        </w:rPr>
        <w:t>0.00</w:t>
      </w:r>
      <w:r w:rsidR="006443A1" w:rsidRPr="00DB10AC">
        <w:rPr>
          <w:rFonts w:ascii="仿宋" w:eastAsia="仿宋" w:hAnsi="仿宋" w:hint="eastAsia"/>
          <w:sz w:val="32"/>
          <w:szCs w:val="32"/>
        </w:rPr>
        <w:t>%。</w:t>
      </w:r>
    </w:p>
    <w:p w:rsidR="006443A1" w:rsidRPr="00DB10AC" w:rsidRDefault="006443A1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DB10AC">
        <w:rPr>
          <w:rFonts w:ascii="黑体" w:eastAsia="黑体" w:hAnsi="黑体" w:hint="eastAsia"/>
          <w:sz w:val="32"/>
          <w:szCs w:val="32"/>
        </w:rPr>
        <w:t>（三）网上开庭情况</w:t>
      </w:r>
    </w:p>
    <w:p w:rsidR="006443A1" w:rsidRPr="007D3241" w:rsidRDefault="007D3241" w:rsidP="00F70C78">
      <w:pPr>
        <w:spacing w:after="0" w:line="220" w:lineRule="atLeast"/>
        <w:ind w:firstLineChars="250" w:firstLine="800"/>
        <w:jc w:val="both"/>
        <w:rPr>
          <w:rFonts w:asciiTheme="minorEastAsia" w:eastAsiaTheme="minorEastAsia" w:hAnsiTheme="minorEastAsia"/>
          <w:color w:val="FF0000"/>
          <w:sz w:val="32"/>
          <w:szCs w:val="32"/>
        </w:rPr>
      </w:pPr>
      <w:r w:rsidRPr="007D3241">
        <w:rPr>
          <w:rFonts w:asciiTheme="minorEastAsia" w:eastAsiaTheme="minorEastAsia" w:hAnsiTheme="minorEastAsia" w:hint="eastAsia"/>
          <w:sz w:val="32"/>
          <w:szCs w:val="32"/>
        </w:rPr>
        <w:t>1-3月</w:t>
      </w:r>
      <w:r w:rsidR="006443A1" w:rsidRPr="007D3241">
        <w:rPr>
          <w:rFonts w:asciiTheme="minorEastAsia" w:eastAsiaTheme="minorEastAsia" w:hAnsiTheme="minorEastAsia" w:hint="eastAsia"/>
          <w:sz w:val="32"/>
          <w:szCs w:val="32"/>
        </w:rPr>
        <w:t>网上开庭率为</w:t>
      </w:r>
      <w:r w:rsidR="002720E9" w:rsidRPr="002720E9">
        <w:rPr>
          <w:rFonts w:asciiTheme="minorEastAsia" w:eastAsiaTheme="minorEastAsia" w:hAnsiTheme="minorEastAsia" w:hint="eastAsia"/>
          <w:sz w:val="32"/>
          <w:szCs w:val="32"/>
        </w:rPr>
        <w:t>0.00</w:t>
      </w:r>
      <w:r w:rsidR="006443A1" w:rsidRPr="002720E9">
        <w:rPr>
          <w:rFonts w:asciiTheme="minorEastAsia" w:eastAsiaTheme="minorEastAsia" w:hAnsiTheme="minorEastAsia" w:hint="eastAsia"/>
          <w:sz w:val="32"/>
          <w:szCs w:val="32"/>
        </w:rPr>
        <w:t>%。</w:t>
      </w:r>
    </w:p>
    <w:p w:rsidR="006443A1" w:rsidRPr="00DB10AC" w:rsidRDefault="006443A1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DB10AC">
        <w:rPr>
          <w:rFonts w:ascii="黑体" w:eastAsia="黑体" w:hAnsi="黑体" w:hint="eastAsia"/>
          <w:sz w:val="32"/>
          <w:szCs w:val="32"/>
        </w:rPr>
        <w:t>（四）电子送达率情况</w:t>
      </w:r>
    </w:p>
    <w:p w:rsidR="006443A1" w:rsidRPr="00DB10AC" w:rsidRDefault="007D3241" w:rsidP="00435B4D">
      <w:pPr>
        <w:spacing w:after="0" w:line="220" w:lineRule="atLeast"/>
        <w:ind w:firstLineChars="250" w:firstLine="800"/>
        <w:jc w:val="both"/>
        <w:rPr>
          <w:rFonts w:ascii="仿宋" w:eastAsia="仿宋" w:hAnsi="仿宋"/>
          <w:color w:val="FF0000"/>
          <w:sz w:val="32"/>
          <w:szCs w:val="32"/>
        </w:rPr>
      </w:pPr>
      <w:r w:rsidRPr="00DB10AC">
        <w:rPr>
          <w:rFonts w:ascii="仿宋" w:eastAsia="仿宋" w:hAnsi="仿宋" w:hint="eastAsia"/>
          <w:sz w:val="32"/>
          <w:szCs w:val="32"/>
        </w:rPr>
        <w:t>1-3</w:t>
      </w:r>
      <w:r w:rsidR="00435B4D" w:rsidRPr="00DB10AC">
        <w:rPr>
          <w:rFonts w:ascii="仿宋" w:eastAsia="仿宋" w:hAnsi="仿宋" w:hint="eastAsia"/>
          <w:sz w:val="32"/>
          <w:szCs w:val="32"/>
        </w:rPr>
        <w:t>月</w:t>
      </w:r>
      <w:r w:rsidR="006443A1" w:rsidRPr="00DB10AC">
        <w:rPr>
          <w:rFonts w:ascii="仿宋" w:eastAsia="仿宋" w:hAnsi="仿宋" w:hint="eastAsia"/>
          <w:sz w:val="32"/>
          <w:szCs w:val="32"/>
        </w:rPr>
        <w:t>电子送达率为</w:t>
      </w:r>
      <w:r w:rsidR="002720E9" w:rsidRPr="00DB10AC">
        <w:rPr>
          <w:rFonts w:ascii="仿宋" w:eastAsia="仿宋" w:hAnsi="仿宋" w:hint="eastAsia"/>
          <w:sz w:val="32"/>
          <w:szCs w:val="32"/>
        </w:rPr>
        <w:t>0.00</w:t>
      </w:r>
      <w:r w:rsidR="006443A1" w:rsidRPr="00DB10AC">
        <w:rPr>
          <w:rFonts w:ascii="仿宋" w:eastAsia="仿宋" w:hAnsi="仿宋" w:hint="eastAsia"/>
          <w:sz w:val="32"/>
          <w:szCs w:val="32"/>
        </w:rPr>
        <w:t>%。</w:t>
      </w:r>
    </w:p>
    <w:p w:rsidR="006443A1" w:rsidRPr="00DB10AC" w:rsidRDefault="00B263BC" w:rsidP="00DB10AC">
      <w:pPr>
        <w:spacing w:after="0" w:line="220" w:lineRule="atLeast"/>
        <w:ind w:firstLineChars="250" w:firstLine="803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 w:rsidRPr="00DB10AC">
        <w:rPr>
          <w:rFonts w:asciiTheme="minorEastAsia" w:eastAsiaTheme="minorEastAsia" w:hAnsiTheme="minorEastAsia" w:hint="eastAsia"/>
          <w:b/>
          <w:sz w:val="32"/>
          <w:szCs w:val="32"/>
        </w:rPr>
        <w:t>八</w:t>
      </w:r>
      <w:r w:rsidR="006443A1" w:rsidRPr="00DB10AC">
        <w:rPr>
          <w:rFonts w:asciiTheme="minorEastAsia" w:eastAsiaTheme="minorEastAsia" w:hAnsiTheme="minorEastAsia" w:hint="eastAsia"/>
          <w:b/>
          <w:sz w:val="32"/>
          <w:szCs w:val="32"/>
        </w:rPr>
        <w:t>、审判态势呈现的特点、存在的问题及下一步工作建议</w:t>
      </w:r>
    </w:p>
    <w:p w:rsidR="006443A1" w:rsidRPr="00DB10AC" w:rsidRDefault="00435B4D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DB10AC">
        <w:rPr>
          <w:rFonts w:ascii="黑体" w:eastAsia="黑体" w:hAnsi="黑体" w:hint="eastAsia"/>
          <w:sz w:val="32"/>
          <w:szCs w:val="32"/>
        </w:rPr>
        <w:t>（一）加强均衡结案</w:t>
      </w:r>
    </w:p>
    <w:p w:rsidR="006443A1" w:rsidRPr="00DB10AC" w:rsidRDefault="007D3241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B10AC">
        <w:rPr>
          <w:rFonts w:ascii="仿宋" w:eastAsia="仿宋" w:hAnsi="仿宋" w:hint="eastAsia"/>
          <w:sz w:val="32"/>
          <w:szCs w:val="32"/>
        </w:rPr>
        <w:t>2019</w:t>
      </w:r>
      <w:r w:rsidR="006443A1" w:rsidRPr="00DB10AC">
        <w:rPr>
          <w:rFonts w:ascii="仿宋" w:eastAsia="仿宋" w:hAnsi="仿宋" w:hint="eastAsia"/>
          <w:sz w:val="32"/>
          <w:szCs w:val="32"/>
        </w:rPr>
        <w:t>年</w:t>
      </w:r>
      <w:r w:rsidR="00C651DE" w:rsidRPr="00DB10AC">
        <w:rPr>
          <w:rFonts w:ascii="仿宋" w:eastAsia="仿宋" w:hAnsi="仿宋" w:hint="eastAsia"/>
          <w:sz w:val="32"/>
          <w:szCs w:val="32"/>
        </w:rPr>
        <w:t>1</w:t>
      </w:r>
      <w:r w:rsidRPr="00DB10AC">
        <w:rPr>
          <w:rFonts w:ascii="仿宋" w:eastAsia="仿宋" w:hAnsi="仿宋" w:hint="eastAsia"/>
          <w:sz w:val="32"/>
          <w:szCs w:val="32"/>
        </w:rPr>
        <w:t>月，</w:t>
      </w:r>
      <w:r w:rsidR="00C651DE" w:rsidRPr="00DB10AC">
        <w:rPr>
          <w:rFonts w:ascii="仿宋" w:eastAsia="仿宋" w:hAnsi="仿宋" w:hint="eastAsia"/>
          <w:sz w:val="32"/>
          <w:szCs w:val="32"/>
        </w:rPr>
        <w:t>收案19件，结案19件，结收比100%</w:t>
      </w:r>
      <w:r w:rsidR="00E65A93" w:rsidRPr="00DB10AC">
        <w:rPr>
          <w:rFonts w:ascii="仿宋" w:eastAsia="仿宋" w:hAnsi="仿宋" w:hint="eastAsia"/>
          <w:sz w:val="32"/>
          <w:szCs w:val="32"/>
        </w:rPr>
        <w:t>，高于</w:t>
      </w:r>
      <w:r w:rsidR="0050567F" w:rsidRPr="00DB10AC">
        <w:rPr>
          <w:rFonts w:ascii="仿宋" w:eastAsia="仿宋" w:hAnsi="仿宋" w:hint="eastAsia"/>
          <w:sz w:val="32"/>
          <w:szCs w:val="32"/>
        </w:rPr>
        <w:t>本月</w:t>
      </w:r>
      <w:r w:rsidR="00E65A93" w:rsidRPr="00DB10AC">
        <w:rPr>
          <w:rFonts w:ascii="仿宋" w:eastAsia="仿宋" w:hAnsi="仿宋" w:hint="eastAsia"/>
          <w:sz w:val="32"/>
          <w:szCs w:val="32"/>
        </w:rPr>
        <w:t>考核指标（70%）30个百分点</w:t>
      </w:r>
      <w:r w:rsidR="00C651DE" w:rsidRPr="00DB10AC">
        <w:rPr>
          <w:rFonts w:ascii="仿宋" w:eastAsia="仿宋" w:hAnsi="仿宋" w:hint="eastAsia"/>
          <w:sz w:val="32"/>
          <w:szCs w:val="32"/>
        </w:rPr>
        <w:t>；2月收案</w:t>
      </w:r>
      <w:r w:rsidR="00E65A93" w:rsidRPr="00DB10AC">
        <w:rPr>
          <w:rFonts w:ascii="仿宋" w:eastAsia="仿宋" w:hAnsi="仿宋" w:hint="eastAsia"/>
          <w:sz w:val="32"/>
          <w:szCs w:val="32"/>
        </w:rPr>
        <w:t>19件，结案9件，结收比47.36%</w:t>
      </w:r>
      <w:r w:rsidR="0050567F" w:rsidRPr="00DB10AC">
        <w:rPr>
          <w:rFonts w:ascii="仿宋" w:eastAsia="仿宋" w:hAnsi="仿宋" w:hint="eastAsia"/>
          <w:sz w:val="32"/>
          <w:szCs w:val="32"/>
        </w:rPr>
        <w:t>，低于本月考核指标（80%）32.64个百分点</w:t>
      </w:r>
      <w:r w:rsidR="00E65A93" w:rsidRPr="00DB10AC">
        <w:rPr>
          <w:rFonts w:ascii="仿宋" w:eastAsia="仿宋" w:hAnsi="仿宋" w:hint="eastAsia"/>
          <w:sz w:val="32"/>
          <w:szCs w:val="32"/>
        </w:rPr>
        <w:t>；3月收案22件，结案19件，结收比90.9</w:t>
      </w:r>
      <w:r w:rsidR="00457333" w:rsidRPr="00DB10AC">
        <w:rPr>
          <w:rFonts w:ascii="仿宋" w:eastAsia="仿宋" w:hAnsi="仿宋" w:hint="eastAsia"/>
          <w:sz w:val="32"/>
          <w:szCs w:val="32"/>
        </w:rPr>
        <w:t>0</w:t>
      </w:r>
      <w:r w:rsidR="00E65A93" w:rsidRPr="00DB10AC">
        <w:rPr>
          <w:rFonts w:ascii="仿宋" w:eastAsia="仿宋" w:hAnsi="仿宋" w:hint="eastAsia"/>
          <w:sz w:val="32"/>
          <w:szCs w:val="32"/>
        </w:rPr>
        <w:t>%，高于</w:t>
      </w:r>
      <w:r w:rsidR="00DD4F6E" w:rsidRPr="00DB10AC">
        <w:rPr>
          <w:rFonts w:ascii="仿宋" w:eastAsia="仿宋" w:hAnsi="仿宋" w:hint="eastAsia"/>
          <w:sz w:val="32"/>
          <w:szCs w:val="32"/>
        </w:rPr>
        <w:t>本月</w:t>
      </w:r>
      <w:r w:rsidR="00E65A93" w:rsidRPr="00DB10AC">
        <w:rPr>
          <w:rFonts w:ascii="仿宋" w:eastAsia="仿宋" w:hAnsi="仿宋" w:hint="eastAsia"/>
          <w:sz w:val="32"/>
          <w:szCs w:val="32"/>
        </w:rPr>
        <w:t>考核指标（</w:t>
      </w:r>
      <w:r w:rsidR="00457333" w:rsidRPr="00DB10AC">
        <w:rPr>
          <w:rFonts w:ascii="仿宋" w:eastAsia="仿宋" w:hAnsi="仿宋" w:hint="eastAsia"/>
          <w:sz w:val="32"/>
          <w:szCs w:val="32"/>
        </w:rPr>
        <w:t>90%</w:t>
      </w:r>
      <w:r w:rsidR="00E65A93" w:rsidRPr="00DB10AC">
        <w:rPr>
          <w:rFonts w:ascii="仿宋" w:eastAsia="仿宋" w:hAnsi="仿宋" w:hint="eastAsia"/>
          <w:sz w:val="32"/>
          <w:szCs w:val="32"/>
        </w:rPr>
        <w:t>）</w:t>
      </w:r>
      <w:r w:rsidR="00457333" w:rsidRPr="00DB10AC">
        <w:rPr>
          <w:rFonts w:ascii="仿宋" w:eastAsia="仿宋" w:hAnsi="仿宋" w:hint="eastAsia"/>
          <w:sz w:val="32"/>
          <w:szCs w:val="32"/>
        </w:rPr>
        <w:t>0.90个百分点</w:t>
      </w:r>
      <w:r w:rsidR="00E65A93" w:rsidRPr="00DB10AC">
        <w:rPr>
          <w:rFonts w:ascii="仿宋" w:eastAsia="仿宋" w:hAnsi="仿宋" w:hint="eastAsia"/>
          <w:sz w:val="32"/>
          <w:szCs w:val="32"/>
        </w:rPr>
        <w:t>。</w:t>
      </w:r>
      <w:r w:rsidR="00DD4F6E" w:rsidRPr="00DB10AC">
        <w:rPr>
          <w:rFonts w:ascii="仿宋" w:eastAsia="仿宋" w:hAnsi="仿宋" w:hint="eastAsia"/>
          <w:sz w:val="32"/>
          <w:szCs w:val="32"/>
        </w:rPr>
        <w:t>从1、2月份结收比看，1月份高于考核指标，而2月结收比明显低于考核指标，没有做好均衡结案工作。</w:t>
      </w:r>
      <w:r w:rsidR="00B82E7D" w:rsidRPr="00DB10AC">
        <w:rPr>
          <w:rFonts w:ascii="仿宋" w:eastAsia="仿宋" w:hAnsi="仿宋" w:hint="eastAsia"/>
          <w:sz w:val="32"/>
          <w:szCs w:val="32"/>
        </w:rPr>
        <w:t>3月份加强了均衡结案督导管理，均衡结案步入正轨。2019年1</w:t>
      </w:r>
      <w:r w:rsidR="00613ED6" w:rsidRPr="00DB10AC">
        <w:rPr>
          <w:rFonts w:ascii="仿宋" w:eastAsia="仿宋" w:hAnsi="仿宋" w:hint="eastAsia"/>
          <w:sz w:val="32"/>
          <w:szCs w:val="32"/>
        </w:rPr>
        <w:t>-3月</w:t>
      </w:r>
      <w:r w:rsidR="006B5A3D" w:rsidRPr="00DB10AC">
        <w:rPr>
          <w:rFonts w:ascii="仿宋" w:eastAsia="仿宋" w:hAnsi="仿宋" w:hint="eastAsia"/>
          <w:sz w:val="32"/>
          <w:szCs w:val="32"/>
        </w:rPr>
        <w:t>各类案件结案数</w:t>
      </w:r>
      <w:r w:rsidR="00613ED6" w:rsidRPr="00DB10AC">
        <w:rPr>
          <w:rFonts w:ascii="仿宋" w:eastAsia="仿宋" w:hAnsi="仿宋" w:hint="eastAsia"/>
          <w:sz w:val="32"/>
          <w:szCs w:val="32"/>
        </w:rPr>
        <w:t>、结案率、结收比</w:t>
      </w:r>
      <w:r w:rsidR="006B5A3D" w:rsidRPr="00DB10AC">
        <w:rPr>
          <w:rFonts w:ascii="仿宋" w:eastAsia="仿宋" w:hAnsi="仿宋" w:hint="eastAsia"/>
          <w:sz w:val="32"/>
          <w:szCs w:val="32"/>
        </w:rPr>
        <w:t>同比</w:t>
      </w:r>
      <w:r w:rsidR="00613ED6" w:rsidRPr="00DB10AC">
        <w:rPr>
          <w:rFonts w:ascii="仿宋" w:eastAsia="仿宋" w:hAnsi="仿宋" w:hint="eastAsia"/>
          <w:sz w:val="32"/>
          <w:szCs w:val="32"/>
        </w:rPr>
        <w:t>上年同期都有所</w:t>
      </w:r>
      <w:r w:rsidR="006B5A3D" w:rsidRPr="00DB10AC">
        <w:rPr>
          <w:rFonts w:ascii="仿宋" w:eastAsia="仿宋" w:hAnsi="仿宋" w:hint="eastAsia"/>
          <w:sz w:val="32"/>
          <w:szCs w:val="32"/>
        </w:rPr>
        <w:t>上升</w:t>
      </w:r>
      <w:r w:rsidR="00613ED6" w:rsidRPr="00DB10AC">
        <w:rPr>
          <w:rFonts w:ascii="仿宋" w:eastAsia="仿宋" w:hAnsi="仿宋" w:hint="eastAsia"/>
          <w:sz w:val="32"/>
          <w:szCs w:val="32"/>
        </w:rPr>
        <w:t>，分别上升</w:t>
      </w:r>
      <w:r w:rsidR="006B5A3D" w:rsidRPr="00DB10AC">
        <w:rPr>
          <w:rFonts w:ascii="仿宋" w:eastAsia="仿宋" w:hAnsi="仿宋" w:hint="eastAsia"/>
          <w:sz w:val="32"/>
          <w:szCs w:val="32"/>
        </w:rPr>
        <w:t>11.63%</w:t>
      </w:r>
      <w:r w:rsidR="00613ED6" w:rsidRPr="00DB10AC">
        <w:rPr>
          <w:rFonts w:ascii="仿宋" w:eastAsia="仿宋" w:hAnsi="仿宋" w:hint="eastAsia"/>
          <w:sz w:val="32"/>
          <w:szCs w:val="32"/>
        </w:rPr>
        <w:t>、33.92%、</w:t>
      </w:r>
      <w:r w:rsidR="00D12BBF" w:rsidRPr="00DB10AC">
        <w:rPr>
          <w:rFonts w:ascii="仿宋" w:eastAsia="仿宋" w:hAnsi="仿宋" w:hint="eastAsia"/>
          <w:sz w:val="32"/>
          <w:szCs w:val="32"/>
        </w:rPr>
        <w:t>31.14</w:t>
      </w:r>
      <w:r w:rsidR="00613ED6" w:rsidRPr="00DB10AC">
        <w:rPr>
          <w:rFonts w:ascii="仿宋" w:eastAsia="仿宋" w:hAnsi="仿宋" w:hint="eastAsia"/>
          <w:sz w:val="32"/>
          <w:szCs w:val="32"/>
        </w:rPr>
        <w:t>%</w:t>
      </w:r>
      <w:r w:rsidR="00D12BBF" w:rsidRPr="00DB10AC">
        <w:rPr>
          <w:rFonts w:ascii="仿宋" w:eastAsia="仿宋" w:hAnsi="仿宋" w:hint="eastAsia"/>
          <w:sz w:val="32"/>
          <w:szCs w:val="32"/>
        </w:rPr>
        <w:t>。</w:t>
      </w:r>
      <w:r w:rsidR="00DA1BF7" w:rsidRPr="00DB10AC">
        <w:rPr>
          <w:rFonts w:ascii="仿宋" w:eastAsia="仿宋" w:hAnsi="仿宋" w:hint="eastAsia"/>
          <w:sz w:val="32"/>
          <w:szCs w:val="32"/>
        </w:rPr>
        <w:t>这中间除加大了快审快结力度外，也存在收案与上年同期有所下降的因素。总之，</w:t>
      </w:r>
      <w:r w:rsidR="008C476C" w:rsidRPr="00DB10AC">
        <w:rPr>
          <w:rFonts w:ascii="仿宋" w:eastAsia="仿宋" w:hAnsi="仿宋" w:hint="eastAsia"/>
          <w:sz w:val="32"/>
          <w:szCs w:val="32"/>
        </w:rPr>
        <w:t>第一季度各月收结</w:t>
      </w:r>
      <w:r w:rsidR="00DA1BF7" w:rsidRPr="00DB10AC">
        <w:rPr>
          <w:rFonts w:ascii="仿宋" w:eastAsia="仿宋" w:hAnsi="仿宋" w:hint="eastAsia"/>
          <w:sz w:val="32"/>
          <w:szCs w:val="32"/>
        </w:rPr>
        <w:t>不均衡的现象仍然存在。</w:t>
      </w:r>
      <w:r w:rsidR="006443A1" w:rsidRPr="00DB10AC">
        <w:rPr>
          <w:rFonts w:ascii="仿宋" w:eastAsia="仿宋" w:hAnsi="仿宋" w:hint="eastAsia"/>
          <w:sz w:val="32"/>
          <w:szCs w:val="32"/>
        </w:rPr>
        <w:t>加强均衡结案</w:t>
      </w:r>
      <w:r w:rsidR="00DA1BF7" w:rsidRPr="00DB10AC">
        <w:rPr>
          <w:rFonts w:ascii="仿宋" w:eastAsia="仿宋" w:hAnsi="仿宋" w:hint="eastAsia"/>
          <w:sz w:val="32"/>
          <w:szCs w:val="32"/>
        </w:rPr>
        <w:t>工作仍不容忽视</w:t>
      </w:r>
      <w:r w:rsidR="006443A1" w:rsidRPr="00DB10AC">
        <w:rPr>
          <w:rFonts w:ascii="仿宋" w:eastAsia="仿宋" w:hAnsi="仿宋" w:hint="eastAsia"/>
          <w:sz w:val="32"/>
          <w:szCs w:val="32"/>
        </w:rPr>
        <w:t>，</w:t>
      </w:r>
      <w:r w:rsidR="00DA1BF7" w:rsidRPr="00DB10AC">
        <w:rPr>
          <w:rFonts w:ascii="仿宋" w:eastAsia="仿宋" w:hAnsi="仿宋" w:hint="eastAsia"/>
          <w:sz w:val="32"/>
          <w:szCs w:val="32"/>
        </w:rPr>
        <w:t>需进一步加大督导力度，</w:t>
      </w:r>
      <w:r w:rsidR="006443A1" w:rsidRPr="00DB10AC">
        <w:rPr>
          <w:rFonts w:ascii="仿宋" w:eastAsia="仿宋" w:hAnsi="仿宋" w:hint="eastAsia"/>
          <w:sz w:val="32"/>
          <w:szCs w:val="32"/>
        </w:rPr>
        <w:t>控制未结案件存量，最大限度缩短办案周期，确保审判工作高效运行。</w:t>
      </w:r>
    </w:p>
    <w:p w:rsidR="00CF3E69" w:rsidRDefault="00CF3E69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</w:p>
    <w:p w:rsidR="00CF3E69" w:rsidRDefault="00CF3E69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</w:p>
    <w:p w:rsidR="006443A1" w:rsidRPr="00DB10AC" w:rsidRDefault="007D3241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DB10AC">
        <w:rPr>
          <w:rFonts w:ascii="黑体" w:eastAsia="黑体" w:hAnsi="黑体" w:hint="eastAsia"/>
          <w:sz w:val="32"/>
          <w:szCs w:val="32"/>
        </w:rPr>
        <w:t>（二</w:t>
      </w:r>
      <w:r w:rsidR="00AF2FDC" w:rsidRPr="00DB10AC">
        <w:rPr>
          <w:rFonts w:ascii="黑体" w:eastAsia="黑体" w:hAnsi="黑体" w:hint="eastAsia"/>
          <w:sz w:val="32"/>
          <w:szCs w:val="32"/>
        </w:rPr>
        <w:t>）加强电子法院深度应</w:t>
      </w:r>
      <w:r w:rsidR="006443A1" w:rsidRPr="00DB10AC">
        <w:rPr>
          <w:rFonts w:ascii="黑体" w:eastAsia="黑体" w:hAnsi="黑体" w:hint="eastAsia"/>
          <w:sz w:val="32"/>
          <w:szCs w:val="32"/>
        </w:rPr>
        <w:t>用力度</w:t>
      </w:r>
    </w:p>
    <w:p w:rsidR="004358AB" w:rsidRPr="00DB10AC" w:rsidRDefault="006443A1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B10AC">
        <w:rPr>
          <w:rFonts w:ascii="仿宋" w:eastAsia="仿宋" w:hAnsi="仿宋" w:hint="eastAsia"/>
          <w:sz w:val="32"/>
          <w:szCs w:val="32"/>
        </w:rPr>
        <w:t>网上立案应用</w:t>
      </w:r>
      <w:r w:rsidR="00312844" w:rsidRPr="00DB10AC">
        <w:rPr>
          <w:rFonts w:ascii="仿宋" w:eastAsia="仿宋" w:hAnsi="仿宋" w:hint="eastAsia"/>
          <w:sz w:val="32"/>
          <w:szCs w:val="32"/>
        </w:rPr>
        <w:t>指标未达标，网上证据交换、网上开庭、电子送达等未实际应用</w:t>
      </w:r>
      <w:r w:rsidRPr="00DB10AC">
        <w:rPr>
          <w:rFonts w:ascii="仿宋" w:eastAsia="仿宋" w:hAnsi="仿宋" w:hint="eastAsia"/>
          <w:sz w:val="32"/>
          <w:szCs w:val="32"/>
        </w:rPr>
        <w:t>。建议各审判业务庭、各员额法官提高网上办案</w:t>
      </w:r>
      <w:r w:rsidR="00312844" w:rsidRPr="00DB10AC">
        <w:rPr>
          <w:rFonts w:ascii="仿宋" w:eastAsia="仿宋" w:hAnsi="仿宋" w:hint="eastAsia"/>
          <w:sz w:val="32"/>
          <w:szCs w:val="32"/>
        </w:rPr>
        <w:t>意识</w:t>
      </w:r>
      <w:r w:rsidRPr="00DB10AC">
        <w:rPr>
          <w:rFonts w:ascii="仿宋" w:eastAsia="仿宋" w:hAnsi="仿宋" w:hint="eastAsia"/>
          <w:sz w:val="32"/>
          <w:szCs w:val="32"/>
        </w:rPr>
        <w:t>，</w:t>
      </w:r>
      <w:r w:rsidR="00312844" w:rsidRPr="00DB10AC">
        <w:rPr>
          <w:rFonts w:ascii="仿宋" w:eastAsia="仿宋" w:hAnsi="仿宋" w:hint="eastAsia"/>
          <w:sz w:val="32"/>
          <w:szCs w:val="32"/>
        </w:rPr>
        <w:t>充分利用</w:t>
      </w:r>
      <w:r w:rsidRPr="00DB10AC">
        <w:rPr>
          <w:rFonts w:ascii="仿宋" w:eastAsia="仿宋" w:hAnsi="仿宋" w:hint="eastAsia"/>
          <w:sz w:val="32"/>
          <w:szCs w:val="32"/>
        </w:rPr>
        <w:t>网上证据交换、网上庭审、电子卷宗深度应用等各项</w:t>
      </w:r>
      <w:r w:rsidR="00312844" w:rsidRPr="00DB10AC">
        <w:rPr>
          <w:rFonts w:ascii="仿宋" w:eastAsia="仿宋" w:hAnsi="仿宋" w:hint="eastAsia"/>
          <w:sz w:val="32"/>
          <w:szCs w:val="32"/>
        </w:rPr>
        <w:t>智能办案系统，提高办案效率</w:t>
      </w:r>
      <w:r w:rsidRPr="00DB10AC">
        <w:rPr>
          <w:rFonts w:ascii="仿宋" w:eastAsia="仿宋" w:hAnsi="仿宋" w:hint="eastAsia"/>
          <w:sz w:val="32"/>
          <w:szCs w:val="32"/>
        </w:rPr>
        <w:t>。</w:t>
      </w:r>
    </w:p>
    <w:p w:rsidR="00312844" w:rsidRPr="00DB10AC" w:rsidRDefault="00312844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DB10AC">
        <w:rPr>
          <w:rFonts w:ascii="黑体" w:eastAsia="黑体" w:hAnsi="黑体" w:hint="eastAsia"/>
          <w:sz w:val="32"/>
          <w:szCs w:val="32"/>
        </w:rPr>
        <w:t>（三）加强网上立案、文书上网、案卷归档、调撤率等指标的的督导</w:t>
      </w:r>
    </w:p>
    <w:p w:rsidR="00312844" w:rsidRPr="00863B14" w:rsidRDefault="00F62666" w:rsidP="00161267">
      <w:pPr>
        <w:spacing w:after="0" w:line="220" w:lineRule="atLeas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自4</w:t>
      </w:r>
      <w:r w:rsidR="00312844">
        <w:rPr>
          <w:rFonts w:asciiTheme="minorEastAsia" w:eastAsiaTheme="minorEastAsia" w:hAnsiTheme="minorEastAsia" w:hint="eastAsia"/>
          <w:sz w:val="32"/>
          <w:szCs w:val="32"/>
        </w:rPr>
        <w:t>月份</w:t>
      </w:r>
      <w:r>
        <w:rPr>
          <w:rFonts w:asciiTheme="minorEastAsia" w:eastAsiaTheme="minorEastAsia" w:hAnsiTheme="minorEastAsia" w:hint="eastAsia"/>
          <w:sz w:val="32"/>
          <w:szCs w:val="32"/>
        </w:rPr>
        <w:t>起</w:t>
      </w:r>
      <w:r w:rsidR="00312844">
        <w:rPr>
          <w:rFonts w:asciiTheme="minorEastAsia" w:eastAsiaTheme="minorEastAsia" w:hAnsiTheme="minorEastAsia" w:hint="eastAsia"/>
          <w:sz w:val="32"/>
          <w:szCs w:val="32"/>
        </w:rPr>
        <w:t>网上立案应达到100%；裁判文书生效</w:t>
      </w:r>
      <w:r>
        <w:rPr>
          <w:rFonts w:asciiTheme="minorEastAsia" w:eastAsiaTheme="minorEastAsia" w:hAnsiTheme="minorEastAsia" w:hint="eastAsia"/>
          <w:sz w:val="32"/>
          <w:szCs w:val="32"/>
        </w:rPr>
        <w:t>后及时上网（分类办理）；案件结案后一个月内归档；调撤率不能低于70%。</w:t>
      </w:r>
    </w:p>
    <w:p w:rsidR="009B3704" w:rsidRPr="009B3704" w:rsidRDefault="009B3704" w:rsidP="00161267">
      <w:pPr>
        <w:spacing w:after="0" w:line="220" w:lineRule="atLeast"/>
        <w:jc w:val="both"/>
        <w:rPr>
          <w:rFonts w:asciiTheme="minorEastAsia" w:eastAsiaTheme="minorEastAsia" w:hAnsiTheme="minorEastAsia"/>
          <w:color w:val="7030A0"/>
          <w:sz w:val="32"/>
          <w:szCs w:val="32"/>
        </w:rPr>
      </w:pPr>
    </w:p>
    <w:sectPr w:rsidR="009B3704" w:rsidRPr="009B3704" w:rsidSect="003D648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247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EFE" w:rsidRDefault="00792EFE" w:rsidP="006443A1">
      <w:pPr>
        <w:spacing w:after="0"/>
      </w:pPr>
      <w:r>
        <w:separator/>
      </w:r>
    </w:p>
  </w:endnote>
  <w:endnote w:type="continuationSeparator" w:id="0">
    <w:p w:rsidR="00792EFE" w:rsidRDefault="00792EFE" w:rsidP="006443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FD" w:rsidRDefault="00B160F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4439"/>
      <w:docPartObj>
        <w:docPartGallery w:val="Page Numbers (Bottom of Page)"/>
        <w:docPartUnique/>
      </w:docPartObj>
    </w:sdtPr>
    <w:sdtContent>
      <w:p w:rsidR="00E53FB5" w:rsidRDefault="004C4130">
        <w:pPr>
          <w:pStyle w:val="a4"/>
          <w:jc w:val="center"/>
        </w:pPr>
        <w:fldSimple w:instr=" PAGE   \* MERGEFORMAT ">
          <w:r w:rsidR="00792EFE" w:rsidRPr="00792EFE">
            <w:rPr>
              <w:noProof/>
              <w:lang w:val="zh-CN"/>
            </w:rPr>
            <w:t>1</w:t>
          </w:r>
        </w:fldSimple>
      </w:p>
    </w:sdtContent>
  </w:sdt>
  <w:p w:rsidR="007D3241" w:rsidRDefault="007D324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FD" w:rsidRDefault="00B160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EFE" w:rsidRDefault="00792EFE" w:rsidP="006443A1">
      <w:pPr>
        <w:spacing w:after="0"/>
      </w:pPr>
      <w:r>
        <w:separator/>
      </w:r>
    </w:p>
  </w:footnote>
  <w:footnote w:type="continuationSeparator" w:id="0">
    <w:p w:rsidR="00792EFE" w:rsidRDefault="00792EFE" w:rsidP="006443A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FD" w:rsidRDefault="00B160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41" w:rsidRDefault="007D3241" w:rsidP="00FE459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FD" w:rsidRDefault="00B160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savePreviewPictur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C96"/>
    <w:rsid w:val="00013208"/>
    <w:rsid w:val="000178F4"/>
    <w:rsid w:val="00022114"/>
    <w:rsid w:val="00031E27"/>
    <w:rsid w:val="0003509F"/>
    <w:rsid w:val="00035255"/>
    <w:rsid w:val="00065BF0"/>
    <w:rsid w:val="00073D3C"/>
    <w:rsid w:val="00095201"/>
    <w:rsid w:val="00097462"/>
    <w:rsid w:val="000B14FC"/>
    <w:rsid w:val="000C57C5"/>
    <w:rsid w:val="000D001A"/>
    <w:rsid w:val="000D4D78"/>
    <w:rsid w:val="000E10FE"/>
    <w:rsid w:val="000E2918"/>
    <w:rsid w:val="000E5187"/>
    <w:rsid w:val="00100F9D"/>
    <w:rsid w:val="0010508A"/>
    <w:rsid w:val="0011391A"/>
    <w:rsid w:val="00126569"/>
    <w:rsid w:val="00127ED8"/>
    <w:rsid w:val="00133DB5"/>
    <w:rsid w:val="00161267"/>
    <w:rsid w:val="0016257B"/>
    <w:rsid w:val="001633F2"/>
    <w:rsid w:val="00163DB5"/>
    <w:rsid w:val="001663DB"/>
    <w:rsid w:val="00177801"/>
    <w:rsid w:val="00186B3D"/>
    <w:rsid w:val="001D1272"/>
    <w:rsid w:val="001D3C7A"/>
    <w:rsid w:val="001D649B"/>
    <w:rsid w:val="001E0C10"/>
    <w:rsid w:val="001E73E5"/>
    <w:rsid w:val="001E7F7B"/>
    <w:rsid w:val="001F0E65"/>
    <w:rsid w:val="002017A3"/>
    <w:rsid w:val="00202929"/>
    <w:rsid w:val="00212BFF"/>
    <w:rsid w:val="00221968"/>
    <w:rsid w:val="00237430"/>
    <w:rsid w:val="002720E9"/>
    <w:rsid w:val="00277473"/>
    <w:rsid w:val="00277B0A"/>
    <w:rsid w:val="002A1313"/>
    <w:rsid w:val="002A7582"/>
    <w:rsid w:val="002D207D"/>
    <w:rsid w:val="00303B1F"/>
    <w:rsid w:val="00305575"/>
    <w:rsid w:val="00312844"/>
    <w:rsid w:val="00317347"/>
    <w:rsid w:val="00323B43"/>
    <w:rsid w:val="003249C4"/>
    <w:rsid w:val="00325949"/>
    <w:rsid w:val="00331850"/>
    <w:rsid w:val="00336F62"/>
    <w:rsid w:val="003600FB"/>
    <w:rsid w:val="00363047"/>
    <w:rsid w:val="00371FA2"/>
    <w:rsid w:val="003771C1"/>
    <w:rsid w:val="003774A3"/>
    <w:rsid w:val="003863DF"/>
    <w:rsid w:val="0039296B"/>
    <w:rsid w:val="003A1C8F"/>
    <w:rsid w:val="003A3858"/>
    <w:rsid w:val="003B506A"/>
    <w:rsid w:val="003C0F79"/>
    <w:rsid w:val="003C1659"/>
    <w:rsid w:val="003C4BA4"/>
    <w:rsid w:val="003D37D8"/>
    <w:rsid w:val="003D43C1"/>
    <w:rsid w:val="003D6482"/>
    <w:rsid w:val="003E288C"/>
    <w:rsid w:val="003F3F19"/>
    <w:rsid w:val="003F5677"/>
    <w:rsid w:val="0040688B"/>
    <w:rsid w:val="00414BEC"/>
    <w:rsid w:val="00414F17"/>
    <w:rsid w:val="004209D4"/>
    <w:rsid w:val="00424AD1"/>
    <w:rsid w:val="00426133"/>
    <w:rsid w:val="004358AB"/>
    <w:rsid w:val="00435B4D"/>
    <w:rsid w:val="00435C5F"/>
    <w:rsid w:val="00451EE6"/>
    <w:rsid w:val="00457333"/>
    <w:rsid w:val="00461D02"/>
    <w:rsid w:val="0047545C"/>
    <w:rsid w:val="0049188B"/>
    <w:rsid w:val="00494BE7"/>
    <w:rsid w:val="004A1430"/>
    <w:rsid w:val="004A5F4D"/>
    <w:rsid w:val="004B5B36"/>
    <w:rsid w:val="004C0FB0"/>
    <w:rsid w:val="004C1F99"/>
    <w:rsid w:val="004C4130"/>
    <w:rsid w:val="004C4FEB"/>
    <w:rsid w:val="004C7156"/>
    <w:rsid w:val="004D03E0"/>
    <w:rsid w:val="004D6A78"/>
    <w:rsid w:val="004F2143"/>
    <w:rsid w:val="0050567F"/>
    <w:rsid w:val="0050698B"/>
    <w:rsid w:val="00535AAE"/>
    <w:rsid w:val="005369DB"/>
    <w:rsid w:val="00543E1F"/>
    <w:rsid w:val="005501F3"/>
    <w:rsid w:val="00554480"/>
    <w:rsid w:val="005705CF"/>
    <w:rsid w:val="00574E75"/>
    <w:rsid w:val="00580FB7"/>
    <w:rsid w:val="00582C5E"/>
    <w:rsid w:val="00584818"/>
    <w:rsid w:val="0058624A"/>
    <w:rsid w:val="00587C7B"/>
    <w:rsid w:val="00594FF9"/>
    <w:rsid w:val="005A08B4"/>
    <w:rsid w:val="005A0BF9"/>
    <w:rsid w:val="005A2CD1"/>
    <w:rsid w:val="005A4B49"/>
    <w:rsid w:val="005A7DA2"/>
    <w:rsid w:val="005B1F72"/>
    <w:rsid w:val="005B7C68"/>
    <w:rsid w:val="005C6079"/>
    <w:rsid w:val="005D2E37"/>
    <w:rsid w:val="005E1013"/>
    <w:rsid w:val="005F24E4"/>
    <w:rsid w:val="005F5DE4"/>
    <w:rsid w:val="00613ED6"/>
    <w:rsid w:val="00623000"/>
    <w:rsid w:val="0062755D"/>
    <w:rsid w:val="00627E64"/>
    <w:rsid w:val="00630915"/>
    <w:rsid w:val="00641401"/>
    <w:rsid w:val="006443A1"/>
    <w:rsid w:val="0065696E"/>
    <w:rsid w:val="00667FA3"/>
    <w:rsid w:val="0067428C"/>
    <w:rsid w:val="00675305"/>
    <w:rsid w:val="00677363"/>
    <w:rsid w:val="00683181"/>
    <w:rsid w:val="006946F3"/>
    <w:rsid w:val="006B5A3D"/>
    <w:rsid w:val="006B79F5"/>
    <w:rsid w:val="006E2F3C"/>
    <w:rsid w:val="006F2F04"/>
    <w:rsid w:val="006F43F6"/>
    <w:rsid w:val="00700221"/>
    <w:rsid w:val="007008B4"/>
    <w:rsid w:val="0070182C"/>
    <w:rsid w:val="00710EB2"/>
    <w:rsid w:val="007222E0"/>
    <w:rsid w:val="00726099"/>
    <w:rsid w:val="007265B1"/>
    <w:rsid w:val="007304F6"/>
    <w:rsid w:val="0073205D"/>
    <w:rsid w:val="00743BAB"/>
    <w:rsid w:val="00754633"/>
    <w:rsid w:val="007607BD"/>
    <w:rsid w:val="0078397C"/>
    <w:rsid w:val="00792EFE"/>
    <w:rsid w:val="007A2F9D"/>
    <w:rsid w:val="007A5D8C"/>
    <w:rsid w:val="007C06A7"/>
    <w:rsid w:val="007D3241"/>
    <w:rsid w:val="007D61D6"/>
    <w:rsid w:val="007E5308"/>
    <w:rsid w:val="007F63DF"/>
    <w:rsid w:val="007F6B72"/>
    <w:rsid w:val="007F6E52"/>
    <w:rsid w:val="007F72B7"/>
    <w:rsid w:val="00810334"/>
    <w:rsid w:val="00811191"/>
    <w:rsid w:val="00814965"/>
    <w:rsid w:val="008212C7"/>
    <w:rsid w:val="0082384B"/>
    <w:rsid w:val="0082730F"/>
    <w:rsid w:val="00855707"/>
    <w:rsid w:val="00863B14"/>
    <w:rsid w:val="00875A97"/>
    <w:rsid w:val="00877839"/>
    <w:rsid w:val="00880E39"/>
    <w:rsid w:val="00883485"/>
    <w:rsid w:val="00895315"/>
    <w:rsid w:val="008B7726"/>
    <w:rsid w:val="008C2666"/>
    <w:rsid w:val="008C476C"/>
    <w:rsid w:val="008C708B"/>
    <w:rsid w:val="008D106C"/>
    <w:rsid w:val="008D6902"/>
    <w:rsid w:val="008D71D6"/>
    <w:rsid w:val="008F4A40"/>
    <w:rsid w:val="008F7122"/>
    <w:rsid w:val="00901335"/>
    <w:rsid w:val="00901EBF"/>
    <w:rsid w:val="00913D8D"/>
    <w:rsid w:val="00921662"/>
    <w:rsid w:val="00936D19"/>
    <w:rsid w:val="0094792F"/>
    <w:rsid w:val="00952473"/>
    <w:rsid w:val="00954D7C"/>
    <w:rsid w:val="00960A2A"/>
    <w:rsid w:val="00965BEF"/>
    <w:rsid w:val="00974A05"/>
    <w:rsid w:val="00980D1F"/>
    <w:rsid w:val="009919E2"/>
    <w:rsid w:val="00994A2F"/>
    <w:rsid w:val="009A4300"/>
    <w:rsid w:val="009A509F"/>
    <w:rsid w:val="009B33C2"/>
    <w:rsid w:val="009B3704"/>
    <w:rsid w:val="009D1431"/>
    <w:rsid w:val="009D5558"/>
    <w:rsid w:val="009D5EA9"/>
    <w:rsid w:val="009E7CDC"/>
    <w:rsid w:val="009F1454"/>
    <w:rsid w:val="00A028A4"/>
    <w:rsid w:val="00A11862"/>
    <w:rsid w:val="00A21070"/>
    <w:rsid w:val="00A24F76"/>
    <w:rsid w:val="00A305D5"/>
    <w:rsid w:val="00A370F8"/>
    <w:rsid w:val="00A425EC"/>
    <w:rsid w:val="00A546CC"/>
    <w:rsid w:val="00A561FB"/>
    <w:rsid w:val="00A57E44"/>
    <w:rsid w:val="00A716F9"/>
    <w:rsid w:val="00A7614B"/>
    <w:rsid w:val="00A97415"/>
    <w:rsid w:val="00AA07D4"/>
    <w:rsid w:val="00AA7FD9"/>
    <w:rsid w:val="00AB050A"/>
    <w:rsid w:val="00AB571F"/>
    <w:rsid w:val="00AC1E18"/>
    <w:rsid w:val="00AF285E"/>
    <w:rsid w:val="00AF2FDC"/>
    <w:rsid w:val="00AF5513"/>
    <w:rsid w:val="00B077C8"/>
    <w:rsid w:val="00B07B68"/>
    <w:rsid w:val="00B1392E"/>
    <w:rsid w:val="00B14FC1"/>
    <w:rsid w:val="00B160FD"/>
    <w:rsid w:val="00B25FDC"/>
    <w:rsid w:val="00B263BC"/>
    <w:rsid w:val="00B4071F"/>
    <w:rsid w:val="00B4148E"/>
    <w:rsid w:val="00B513A6"/>
    <w:rsid w:val="00B7173A"/>
    <w:rsid w:val="00B8279A"/>
    <w:rsid w:val="00B82E7D"/>
    <w:rsid w:val="00B91844"/>
    <w:rsid w:val="00B935D6"/>
    <w:rsid w:val="00B957C0"/>
    <w:rsid w:val="00BB3B0B"/>
    <w:rsid w:val="00BD0873"/>
    <w:rsid w:val="00BD0A2D"/>
    <w:rsid w:val="00BD107D"/>
    <w:rsid w:val="00BD7C17"/>
    <w:rsid w:val="00C11CAC"/>
    <w:rsid w:val="00C13542"/>
    <w:rsid w:val="00C472B8"/>
    <w:rsid w:val="00C57D8F"/>
    <w:rsid w:val="00C6450E"/>
    <w:rsid w:val="00C651DE"/>
    <w:rsid w:val="00C734DF"/>
    <w:rsid w:val="00C85621"/>
    <w:rsid w:val="00C91408"/>
    <w:rsid w:val="00CA1CF9"/>
    <w:rsid w:val="00CB07EB"/>
    <w:rsid w:val="00CB533E"/>
    <w:rsid w:val="00CB772E"/>
    <w:rsid w:val="00CC1C9A"/>
    <w:rsid w:val="00CF3E69"/>
    <w:rsid w:val="00D05FF5"/>
    <w:rsid w:val="00D10343"/>
    <w:rsid w:val="00D12764"/>
    <w:rsid w:val="00D12BBF"/>
    <w:rsid w:val="00D1742F"/>
    <w:rsid w:val="00D175D0"/>
    <w:rsid w:val="00D17C39"/>
    <w:rsid w:val="00D204E0"/>
    <w:rsid w:val="00D21CCE"/>
    <w:rsid w:val="00D22728"/>
    <w:rsid w:val="00D23935"/>
    <w:rsid w:val="00D27ECA"/>
    <w:rsid w:val="00D31D50"/>
    <w:rsid w:val="00D45790"/>
    <w:rsid w:val="00D60054"/>
    <w:rsid w:val="00D6536E"/>
    <w:rsid w:val="00D66543"/>
    <w:rsid w:val="00D8241D"/>
    <w:rsid w:val="00D962E4"/>
    <w:rsid w:val="00DA1BF7"/>
    <w:rsid w:val="00DA2941"/>
    <w:rsid w:val="00DB10AC"/>
    <w:rsid w:val="00DB7351"/>
    <w:rsid w:val="00DC722B"/>
    <w:rsid w:val="00DD2151"/>
    <w:rsid w:val="00DD4EF4"/>
    <w:rsid w:val="00DD4F6E"/>
    <w:rsid w:val="00DE1490"/>
    <w:rsid w:val="00DE2899"/>
    <w:rsid w:val="00DE75FA"/>
    <w:rsid w:val="00E02523"/>
    <w:rsid w:val="00E15233"/>
    <w:rsid w:val="00E33C07"/>
    <w:rsid w:val="00E405ED"/>
    <w:rsid w:val="00E473C0"/>
    <w:rsid w:val="00E5357C"/>
    <w:rsid w:val="00E53B5E"/>
    <w:rsid w:val="00E53FB5"/>
    <w:rsid w:val="00E65A93"/>
    <w:rsid w:val="00E739B4"/>
    <w:rsid w:val="00E80805"/>
    <w:rsid w:val="00E87A93"/>
    <w:rsid w:val="00E9078B"/>
    <w:rsid w:val="00E93A2F"/>
    <w:rsid w:val="00E966B6"/>
    <w:rsid w:val="00EA22C9"/>
    <w:rsid w:val="00EB564C"/>
    <w:rsid w:val="00EB64BC"/>
    <w:rsid w:val="00EC4F25"/>
    <w:rsid w:val="00EC6B33"/>
    <w:rsid w:val="00EE53D7"/>
    <w:rsid w:val="00EE7CEB"/>
    <w:rsid w:val="00EF3A6F"/>
    <w:rsid w:val="00F0658C"/>
    <w:rsid w:val="00F209C8"/>
    <w:rsid w:val="00F23D8B"/>
    <w:rsid w:val="00F31444"/>
    <w:rsid w:val="00F3189F"/>
    <w:rsid w:val="00F319B3"/>
    <w:rsid w:val="00F471A4"/>
    <w:rsid w:val="00F51B55"/>
    <w:rsid w:val="00F56886"/>
    <w:rsid w:val="00F62666"/>
    <w:rsid w:val="00F63F73"/>
    <w:rsid w:val="00F70C78"/>
    <w:rsid w:val="00F92C8A"/>
    <w:rsid w:val="00F9781F"/>
    <w:rsid w:val="00FB1A59"/>
    <w:rsid w:val="00FC7390"/>
    <w:rsid w:val="00FD61FE"/>
    <w:rsid w:val="00FE1093"/>
    <w:rsid w:val="00FE185A"/>
    <w:rsid w:val="00FE459D"/>
    <w:rsid w:val="00FE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43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43A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3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3A1"/>
    <w:rPr>
      <w:rFonts w:ascii="Tahoma" w:hAnsi="Tahoma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E0C10"/>
    <w:pPr>
      <w:widowControl w:val="0"/>
      <w:adjustRightInd/>
      <w:snapToGrid/>
      <w:spacing w:after="0"/>
    </w:pPr>
    <w:rPr>
      <w:rFonts w:asciiTheme="minorHAnsi" w:eastAsiaTheme="minorEastAsia" w:hAnsiTheme="minorHAnsi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C734D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34DF"/>
    <w:rPr>
      <w:rFonts w:ascii="Tahoma" w:hAnsi="Tahoma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65696E"/>
    <w:rPr>
      <w:rFonts w:asciiTheme="majorHAnsi" w:eastAsia="黑体" w:hAnsiTheme="majorHAnsi" w:cstheme="majorBidi"/>
      <w:sz w:val="20"/>
      <w:szCs w:val="20"/>
    </w:rPr>
  </w:style>
  <w:style w:type="table" w:styleId="a7">
    <w:name w:val="Table Grid"/>
    <w:basedOn w:val="a1"/>
    <w:uiPriority w:val="59"/>
    <w:rsid w:val="00B25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javascript:Artery.getCmp(%22resultArea%22).linkto(%7b%22runTimeType%22:%22%22,%22formType%22:%222%22,%22targetWidth%22:%22%22,%22params%22:%7b%22con3%22:%22825%22,%22con2%22:%22-1%22,%22con5%22:%221630636736%22,%22con4%22:%2254067206%22,%22faHiddenaBmqz%22:%22%22,%22con7%22:%222019-03-31%22,%22con6%22:%222019-01-01%22,%22con9%22:%224%22,%22con8%22:%22%22,%22faHiddenBm%22:%22%22,%22faCodeBblx%22:%223%22,%22con11%22:%222%22,%22con12%22:%222%22,%22con10%22:%221%22,%22con13%22:%221%22,%22faHiddenBmqz%22:%22%22,%22qntq%22:%22-1%22,%22faCodeSftj%22:%221%22,%22con1%22:%224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javascript:Artery.getCmp(%22resultArea%22).linkto(%7b%22runTimeType%22:%22%22,%22formType%22:%222%22,%22targetWidth%22:%221024%22,%22params%22:%7b%22con3%22:%22825%22,%22con2%22:%22-1%22,%22con5%22:%221630636736%22,%22con4%22:%2254067206%22,%22con7%22:%222019-03-31%22,%22con6%22:%222019-01-01%22,%22con9%22:%226%22,%22con8%22:%22%22,%22con11%22:%222%22,%22con12%22:%222%22,%22con10%22:%221%22,%22faHiddenBmqz%22:%22&#29682;&#26149;&#26519;&#21306;&#22522;&#23618;&#27861;&#38498;%22,%22con1%22:%226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javascript:Artery.getCmp(%22resultArea%22).linkto(%7b%22runTimeType%22:%22%22,%22formType%22:%222%22,%22targetWidth%22:%221024%22,%22params%22:%7b%22con3%22:%22825%22,%22con2%22:%22-1%22,%22con5%22:%221630636736%22,%22con4%22:%2254067206%22,%22con7%22:%222019-03-31%22,%22con6%22:%222019-01-01%22,%22con9%22:%223%22,%22con8%22:%22%22,%22con11%22:%222%22,%22con12%22:%222%22,%22con10%22:%221%22,%22faHiddenBmqz%22:%22&#29682;&#26149;&#26519;&#21306;&#22522;&#23618;&#27861;&#38498;%22,%22con1%22:%226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javascript:Artery.getCmp(%22resultArea%22).linkto(%7b%22runTimeType%22:%22%22,%22formType%22:%222%22,%22targetWidth%22:%221024%22,%22params%22:%7b%22con3%22:%22825%22,%22con2%22:%22-1%22,%22con5%22:%221630636736%22,%22con4%22:%2254067206%22,%22con7%22:%222019-03-31%22,%22con6%22:%222019-01-01%22,%22con9%22:%221%22,%22con8%22:%22%22,%22con11%22:%222%22,%22con12%22:%222%22,%22con10%22:%221%22,%22faHiddenBmqz%22:%22&#29682;&#26149;&#26519;&#21306;&#22522;&#23618;&#27861;&#38498;%22,%22con1%22:%226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2.package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3.package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4.package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5.package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6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"/>
  <c:chart>
    <c:title>
      <c:tx>
        <c:rich>
          <a:bodyPr/>
          <a:lstStyle/>
          <a:p>
            <a:pPr>
              <a:defRPr/>
            </a:pPr>
            <a:r>
              <a:rPr lang="zh-CN"/>
              <a:t>图表一：</a:t>
            </a:r>
            <a:r>
              <a:rPr lang="en-US"/>
              <a:t>2019</a:t>
            </a:r>
            <a:r>
              <a:rPr lang="zh-CN"/>
              <a:t>年</a:t>
            </a:r>
            <a:r>
              <a:rPr lang="en-US"/>
              <a:t>1-3</a:t>
            </a:r>
            <a:r>
              <a:rPr lang="zh-CN"/>
              <a:t>月珲春林区基层法院     收结存总体同比情况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2018年第一季度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旧存</c:v>
                </c:pt>
                <c:pt idx="1">
                  <c:v>新收</c:v>
                </c:pt>
                <c:pt idx="2">
                  <c:v>受理</c:v>
                </c:pt>
                <c:pt idx="3">
                  <c:v>未结</c:v>
                </c:pt>
                <c:pt idx="4">
                  <c:v>已结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26</c:v>
                </c:pt>
                <c:pt idx="1">
                  <c:v>88</c:v>
                </c:pt>
                <c:pt idx="2">
                  <c:v>114</c:v>
                </c:pt>
                <c:pt idx="3">
                  <c:v>71</c:v>
                </c:pt>
                <c:pt idx="4">
                  <c:v>43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2019年第一季度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旧存</c:v>
                </c:pt>
                <c:pt idx="1">
                  <c:v>新收</c:v>
                </c:pt>
                <c:pt idx="2">
                  <c:v>受理</c:v>
                </c:pt>
                <c:pt idx="3">
                  <c:v>未结</c:v>
                </c:pt>
                <c:pt idx="4">
                  <c:v>已结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7</c:v>
                </c:pt>
                <c:pt idx="1">
                  <c:v>60</c:v>
                </c:pt>
                <c:pt idx="2">
                  <c:v>67</c:v>
                </c:pt>
                <c:pt idx="3">
                  <c:v>19</c:v>
                </c:pt>
                <c:pt idx="4">
                  <c:v>48</c:v>
                </c:pt>
              </c:numCache>
            </c:numRef>
          </c:val>
        </c:ser>
        <c:gapWidth val="75"/>
        <c:overlap val="-25"/>
        <c:axId val="71609728"/>
        <c:axId val="71620096"/>
      </c:barChart>
      <c:catAx>
        <c:axId val="71609728"/>
        <c:scaling>
          <c:orientation val="minMax"/>
        </c:scaling>
        <c:axPos val="b"/>
        <c:majorTickMark val="none"/>
        <c:tickLblPos val="nextTo"/>
        <c:crossAx val="71620096"/>
        <c:crosses val="autoZero"/>
        <c:auto val="1"/>
        <c:lblAlgn val="ctr"/>
        <c:lblOffset val="100"/>
      </c:catAx>
      <c:valAx>
        <c:axId val="716200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1609728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"/>
  <c:chart>
    <c:title>
      <c:tx>
        <c:rich>
          <a:bodyPr/>
          <a:lstStyle/>
          <a:p>
            <a:pPr>
              <a:defRPr/>
            </a:pPr>
            <a:r>
              <a:rPr lang="zh-CN"/>
              <a:t>图表二：</a:t>
            </a:r>
            <a:r>
              <a:rPr lang="en-US"/>
              <a:t>2019</a:t>
            </a:r>
            <a:r>
              <a:rPr lang="zh-CN"/>
              <a:t>年</a:t>
            </a:r>
            <a:r>
              <a:rPr lang="en-US"/>
              <a:t>1-3</a:t>
            </a:r>
            <a:r>
              <a:rPr lang="zh-CN"/>
              <a:t>月珲春林区基层法院 诉讼案件收结存同比情况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Sheet1!$C$1</c:f>
              <c:strCache>
                <c:ptCount val="1"/>
                <c:pt idx="0">
                  <c:v>2018年第一季度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总计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6</c:v>
                </c:pt>
                <c:pt idx="1">
                  <c:v>55</c:v>
                </c:pt>
                <c:pt idx="2">
                  <c:v>31</c:v>
                </c:pt>
                <c:pt idx="3">
                  <c:v>30</c:v>
                </c:pt>
                <c:pt idx="4">
                  <c:v>61</c:v>
                </c:pt>
              </c:numCache>
            </c:numRef>
          </c:val>
        </c:ser>
        <c:ser>
          <c:idx val="2"/>
          <c:order val="1"/>
          <c:tx>
            <c:strRef>
              <c:f>Sheet1!$B$1</c:f>
              <c:strCache>
                <c:ptCount val="1"/>
                <c:pt idx="0">
                  <c:v>2019年第一季度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总计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26</c:v>
                </c:pt>
                <c:pt idx="2">
                  <c:v>5</c:v>
                </c:pt>
                <c:pt idx="3">
                  <c:v>24</c:v>
                </c:pt>
                <c:pt idx="4">
                  <c:v>29</c:v>
                </c:pt>
              </c:numCache>
            </c:numRef>
          </c:val>
        </c:ser>
        <c:gapWidth val="75"/>
        <c:overlap val="-25"/>
        <c:axId val="94693248"/>
        <c:axId val="94695808"/>
      </c:barChart>
      <c:catAx>
        <c:axId val="94693248"/>
        <c:scaling>
          <c:orientation val="minMax"/>
        </c:scaling>
        <c:axPos val="b"/>
        <c:majorTickMark val="none"/>
        <c:tickLblPos val="nextTo"/>
        <c:crossAx val="94695808"/>
        <c:crosses val="autoZero"/>
        <c:auto val="1"/>
        <c:lblAlgn val="ctr"/>
        <c:lblOffset val="100"/>
      </c:catAx>
      <c:valAx>
        <c:axId val="946958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469324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"/>
  <c:chart>
    <c:title>
      <c:tx>
        <c:rich>
          <a:bodyPr/>
          <a:lstStyle/>
          <a:p>
            <a:pPr>
              <a:defRPr/>
            </a:pPr>
            <a:r>
              <a:rPr lang="zh-CN"/>
              <a:t>图表三：</a:t>
            </a:r>
            <a:r>
              <a:rPr lang="en-US"/>
              <a:t>2019</a:t>
            </a:r>
            <a:r>
              <a:rPr lang="zh-CN"/>
              <a:t>年</a:t>
            </a:r>
            <a:r>
              <a:rPr lang="en-US"/>
              <a:t>1-3</a:t>
            </a:r>
            <a:r>
              <a:rPr lang="zh-CN"/>
              <a:t>月珲春林区基层法院执行案件收结存同比情况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Sheet1!$C$1</c:f>
              <c:strCache>
                <c:ptCount val="1"/>
                <c:pt idx="0">
                  <c:v>2019年第一季度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总计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</c:v>
                </c:pt>
                <c:pt idx="1">
                  <c:v>34</c:v>
                </c:pt>
                <c:pt idx="2">
                  <c:v>14</c:v>
                </c:pt>
                <c:pt idx="3">
                  <c:v>24</c:v>
                </c:pt>
                <c:pt idx="4">
                  <c:v>38</c:v>
                </c:pt>
              </c:numCache>
            </c:numRef>
          </c:val>
        </c:ser>
        <c:ser>
          <c:idx val="2"/>
          <c:order val="1"/>
          <c:tx>
            <c:strRef>
              <c:f>Sheet1!$B$1</c:f>
              <c:strCache>
                <c:ptCount val="1"/>
                <c:pt idx="0">
                  <c:v>2018年第一季度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总计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</c:v>
                </c:pt>
                <c:pt idx="1">
                  <c:v>33</c:v>
                </c:pt>
                <c:pt idx="2">
                  <c:v>40</c:v>
                </c:pt>
                <c:pt idx="3">
                  <c:v>13</c:v>
                </c:pt>
                <c:pt idx="4">
                  <c:v>53</c:v>
                </c:pt>
              </c:numCache>
            </c:numRef>
          </c:val>
        </c:ser>
        <c:gapWidth val="75"/>
        <c:overlap val="-25"/>
        <c:axId val="102134528"/>
        <c:axId val="102156544"/>
      </c:barChart>
      <c:catAx>
        <c:axId val="102134528"/>
        <c:scaling>
          <c:orientation val="minMax"/>
        </c:scaling>
        <c:axPos val="b"/>
        <c:majorTickMark val="none"/>
        <c:tickLblPos val="nextTo"/>
        <c:crossAx val="102156544"/>
        <c:crosses val="autoZero"/>
        <c:auto val="1"/>
        <c:lblAlgn val="ctr"/>
        <c:lblOffset val="100"/>
      </c:catAx>
      <c:valAx>
        <c:axId val="1021565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213452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"/>
  <c:chart>
    <c:title>
      <c:tx>
        <c:rich>
          <a:bodyPr/>
          <a:lstStyle/>
          <a:p>
            <a:pPr>
              <a:defRPr/>
            </a:pPr>
            <a:r>
              <a:rPr lang="zh-CN"/>
              <a:t>图表四：</a:t>
            </a:r>
            <a:r>
              <a:rPr lang="en-US"/>
              <a:t>2019</a:t>
            </a:r>
            <a:r>
              <a:rPr lang="zh-CN"/>
              <a:t>年</a:t>
            </a:r>
            <a:r>
              <a:rPr lang="en-US"/>
              <a:t>1-3</a:t>
            </a:r>
            <a:r>
              <a:rPr lang="zh-CN"/>
              <a:t>月珲春林区基层法院新收诉讼案件类型分布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2018年第一季度新收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总计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51</c:v>
                </c:pt>
                <c:pt idx="2">
                  <c:v>0</c:v>
                </c:pt>
                <c:pt idx="3">
                  <c:v>55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2019年第一季度新收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总计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12</c:v>
                </c:pt>
                <c:pt idx="1">
                  <c:v>14</c:v>
                </c:pt>
                <c:pt idx="2">
                  <c:v>0</c:v>
                </c:pt>
                <c:pt idx="3">
                  <c:v>26</c:v>
                </c:pt>
              </c:numCache>
            </c:numRef>
          </c:val>
        </c:ser>
        <c:gapWidth val="75"/>
        <c:shape val="box"/>
        <c:axId val="102503552"/>
        <c:axId val="102539264"/>
        <c:axId val="0"/>
      </c:bar3DChart>
      <c:catAx>
        <c:axId val="102503552"/>
        <c:scaling>
          <c:orientation val="minMax"/>
        </c:scaling>
        <c:axPos val="b"/>
        <c:majorTickMark val="none"/>
        <c:tickLblPos val="nextTo"/>
        <c:crossAx val="102539264"/>
        <c:crosses val="autoZero"/>
        <c:auto val="1"/>
        <c:lblAlgn val="ctr"/>
        <c:lblOffset val="100"/>
      </c:catAx>
      <c:valAx>
        <c:axId val="1025392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250355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b="1">
                <a:latin typeface="+mj-ea"/>
                <a:ea typeface="+mj-ea"/>
              </a:defRPr>
            </a:pPr>
            <a:r>
              <a:rPr lang="zh-CN" altLang="en-US" b="1">
                <a:latin typeface="+mj-ea"/>
                <a:ea typeface="+mj-ea"/>
              </a:rPr>
              <a:t>图表五：</a:t>
            </a:r>
            <a:r>
              <a:rPr lang="en-US" altLang="zh-CN" sz="1600" b="1">
                <a:latin typeface="+mj-ea"/>
                <a:ea typeface="+mj-ea"/>
              </a:rPr>
              <a:t>2019</a:t>
            </a:r>
            <a:r>
              <a:rPr lang="zh-CN" altLang="en-US" b="1">
                <a:latin typeface="+mj-ea"/>
                <a:ea typeface="+mj-ea"/>
              </a:rPr>
              <a:t>年</a:t>
            </a:r>
            <a:r>
              <a:rPr lang="en-US" altLang="zh-CN" b="1">
                <a:latin typeface="+mj-ea"/>
                <a:ea typeface="+mj-ea"/>
              </a:rPr>
              <a:t>1-3</a:t>
            </a:r>
            <a:r>
              <a:rPr lang="zh-CN" altLang="en-US" b="1">
                <a:latin typeface="+mj-ea"/>
                <a:ea typeface="+mj-ea"/>
              </a:rPr>
              <a:t>月珲春林区基层法院新收民事案件案由占比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民事案件案由占比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Sheet1!$A$2:$A$6</c:f>
              <c:strCache>
                <c:ptCount val="5"/>
                <c:pt idx="0">
                  <c:v>承包合同纠纷</c:v>
                </c:pt>
                <c:pt idx="1">
                  <c:v>股东知情权纠纷</c:v>
                </c:pt>
                <c:pt idx="2">
                  <c:v>民间借贷纠纷</c:v>
                </c:pt>
                <c:pt idx="3">
                  <c:v>物业服务合同纠纷</c:v>
                </c:pt>
                <c:pt idx="4">
                  <c:v>其他纠纷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0.15380000000000021</c:v>
                </c:pt>
                <c:pt idx="1">
                  <c:v>0.1154</c:v>
                </c:pt>
                <c:pt idx="2">
                  <c:v>0.1154</c:v>
                </c:pt>
                <c:pt idx="3">
                  <c:v>7.690000000000001E-2</c:v>
                </c:pt>
                <c:pt idx="4">
                  <c:v>0.53849999999999998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600">
                <a:latin typeface="+mj-ea"/>
                <a:ea typeface="+mj-ea"/>
              </a:defRPr>
            </a:pPr>
            <a:r>
              <a:rPr lang="zh-CN" altLang="en-US" sz="1600">
                <a:latin typeface="+mj-ea"/>
                <a:ea typeface="+mj-ea"/>
              </a:rPr>
              <a:t>图表六：</a:t>
            </a:r>
            <a:r>
              <a:rPr lang="en-US" altLang="zh-CN" sz="1600">
                <a:latin typeface="+mj-ea"/>
                <a:ea typeface="+mj-ea"/>
              </a:rPr>
              <a:t>2019</a:t>
            </a:r>
            <a:r>
              <a:rPr lang="zh-CN" altLang="en-US" sz="1600">
                <a:latin typeface="+mj-ea"/>
                <a:ea typeface="+mj-ea"/>
              </a:rPr>
              <a:t>年</a:t>
            </a:r>
            <a:r>
              <a:rPr lang="en-US" altLang="zh-CN" sz="1600">
                <a:latin typeface="+mj-ea"/>
                <a:ea typeface="+mj-ea"/>
              </a:rPr>
              <a:t>1-3</a:t>
            </a:r>
            <a:r>
              <a:rPr lang="zh-CN" altLang="en-US" sz="1600">
                <a:latin typeface="+mj-ea"/>
                <a:ea typeface="+mj-ea"/>
              </a:rPr>
              <a:t>月珲春林区基层法院新收刑事案件罪名占比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Sheet1!$A$2:$A$4</c:f>
              <c:strCache>
                <c:ptCount val="3"/>
                <c:pt idx="0">
                  <c:v>非法采伐、毁坏国家重点保护植物罪</c:v>
                </c:pt>
                <c:pt idx="1">
                  <c:v>盗伐林木罪</c:v>
                </c:pt>
                <c:pt idx="2">
                  <c:v>其他罪名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 formatCode="0%">
                  <c:v>0.25</c:v>
                </c:pt>
                <c:pt idx="1">
                  <c:v>0.33330000000000243</c:v>
                </c:pt>
                <c:pt idx="2">
                  <c:v>0.41670000000000001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DACB40-EDB7-4AD6-B090-BFA1D799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114</cp:revision>
  <cp:lastPrinted>2019-04-03T03:25:00Z</cp:lastPrinted>
  <dcterms:created xsi:type="dcterms:W3CDTF">2019-04-01T08:50:00Z</dcterms:created>
  <dcterms:modified xsi:type="dcterms:W3CDTF">2019-04-03T04:48:00Z</dcterms:modified>
</cp:coreProperties>
</file>