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F7" w:rsidRPr="00C3195B" w:rsidRDefault="00B168B4" w:rsidP="00B168B4">
      <w:pPr>
        <w:spacing w:after="0" w:line="360" w:lineRule="auto"/>
        <w:ind w:firstLineChars="300" w:firstLine="1325"/>
        <w:rPr>
          <w:rFonts w:asciiTheme="majorEastAsia" w:eastAsiaTheme="majorEastAsia" w:hAnsiTheme="majorEastAsia"/>
          <w:b/>
          <w:sz w:val="44"/>
          <w:szCs w:val="44"/>
        </w:rPr>
      </w:pPr>
      <w:r>
        <w:rPr>
          <w:rFonts w:asciiTheme="majorEastAsia" w:eastAsiaTheme="majorEastAsia" w:hAnsiTheme="majorEastAsia" w:hint="eastAsia"/>
          <w:b/>
          <w:sz w:val="44"/>
          <w:szCs w:val="44"/>
        </w:rPr>
        <w:t>珲春林区基层法院2021</w:t>
      </w:r>
      <w:r w:rsidR="00273139">
        <w:rPr>
          <w:rFonts w:asciiTheme="majorEastAsia" w:eastAsiaTheme="majorEastAsia" w:hAnsiTheme="majorEastAsia" w:hint="eastAsia"/>
          <w:b/>
          <w:sz w:val="44"/>
          <w:szCs w:val="44"/>
        </w:rPr>
        <w:t>年</w:t>
      </w:r>
      <w:r>
        <w:rPr>
          <w:rFonts w:asciiTheme="majorEastAsia" w:eastAsiaTheme="majorEastAsia" w:hAnsiTheme="majorEastAsia" w:hint="eastAsia"/>
          <w:b/>
          <w:sz w:val="44"/>
          <w:szCs w:val="44"/>
        </w:rPr>
        <w:t>第一季</w:t>
      </w:r>
      <w:r w:rsidR="005800E4">
        <w:rPr>
          <w:rFonts w:asciiTheme="majorEastAsia" w:eastAsiaTheme="majorEastAsia" w:hAnsiTheme="majorEastAsia" w:hint="eastAsia"/>
          <w:b/>
          <w:sz w:val="44"/>
          <w:szCs w:val="44"/>
        </w:rPr>
        <w:t>度</w:t>
      </w:r>
      <w:r w:rsidRPr="00C3195B">
        <w:rPr>
          <w:rFonts w:asciiTheme="majorEastAsia" w:eastAsiaTheme="majorEastAsia" w:hAnsiTheme="majorEastAsia"/>
          <w:b/>
          <w:sz w:val="44"/>
          <w:szCs w:val="44"/>
        </w:rPr>
        <w:t xml:space="preserve"> </w:t>
      </w:r>
    </w:p>
    <w:p w:rsidR="00B03921" w:rsidRPr="00B03921" w:rsidRDefault="00AE6944" w:rsidP="00FF074A">
      <w:pPr>
        <w:spacing w:after="0" w:line="360" w:lineRule="auto"/>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审判</w:t>
      </w:r>
      <w:r w:rsidR="00273139">
        <w:rPr>
          <w:rFonts w:asciiTheme="majorEastAsia" w:eastAsiaTheme="majorEastAsia" w:hAnsiTheme="majorEastAsia" w:hint="eastAsia"/>
          <w:b/>
          <w:sz w:val="44"/>
          <w:szCs w:val="44"/>
        </w:rPr>
        <w:t>执行工作运行</w:t>
      </w:r>
      <w:r>
        <w:rPr>
          <w:rFonts w:asciiTheme="majorEastAsia" w:eastAsiaTheme="majorEastAsia" w:hAnsiTheme="majorEastAsia" w:hint="eastAsia"/>
          <w:b/>
          <w:sz w:val="44"/>
          <w:szCs w:val="44"/>
        </w:rPr>
        <w:t>态势分析</w:t>
      </w:r>
      <w:r w:rsidR="00273139">
        <w:rPr>
          <w:rFonts w:asciiTheme="majorEastAsia" w:eastAsiaTheme="majorEastAsia" w:hAnsiTheme="majorEastAsia" w:hint="eastAsia"/>
          <w:b/>
          <w:sz w:val="44"/>
          <w:szCs w:val="44"/>
        </w:rPr>
        <w:t>报告</w:t>
      </w:r>
    </w:p>
    <w:p w:rsidR="006F22F7" w:rsidRDefault="00CD57E3" w:rsidP="00C3195B">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根据数字法院业务应用系统提取</w:t>
      </w:r>
      <w:r w:rsidR="00BE3AFB">
        <w:rPr>
          <w:rFonts w:ascii="仿宋" w:eastAsia="仿宋" w:hAnsi="仿宋" w:hint="eastAsia"/>
          <w:sz w:val="32"/>
          <w:szCs w:val="32"/>
        </w:rPr>
        <w:t>的</w:t>
      </w:r>
      <w:r>
        <w:rPr>
          <w:rFonts w:ascii="仿宋" w:eastAsia="仿宋" w:hAnsi="仿宋" w:hint="eastAsia"/>
          <w:sz w:val="32"/>
          <w:szCs w:val="32"/>
        </w:rPr>
        <w:t>珲春林区基层法院</w:t>
      </w:r>
      <w:r w:rsidR="00AE6944">
        <w:rPr>
          <w:rFonts w:ascii="仿宋" w:eastAsia="仿宋" w:hAnsi="仿宋" w:hint="eastAsia"/>
          <w:sz w:val="32"/>
          <w:szCs w:val="32"/>
        </w:rPr>
        <w:t>案</w:t>
      </w:r>
      <w:r>
        <w:rPr>
          <w:rFonts w:ascii="仿宋" w:eastAsia="仿宋" w:hAnsi="仿宋" w:hint="eastAsia"/>
          <w:sz w:val="32"/>
          <w:szCs w:val="32"/>
        </w:rPr>
        <w:t>件数据，我院</w:t>
      </w:r>
      <w:r w:rsidR="00A078DF">
        <w:rPr>
          <w:rFonts w:ascii="仿宋" w:eastAsia="仿宋" w:hAnsi="仿宋" w:hint="eastAsia"/>
          <w:sz w:val="32"/>
          <w:szCs w:val="32"/>
        </w:rPr>
        <w:t>审判管理办公室</w:t>
      </w:r>
      <w:r w:rsidR="00AE6944">
        <w:rPr>
          <w:rFonts w:ascii="仿宋" w:eastAsia="仿宋" w:hAnsi="仿宋" w:hint="eastAsia"/>
          <w:sz w:val="32"/>
          <w:szCs w:val="32"/>
        </w:rPr>
        <w:t>对</w:t>
      </w:r>
      <w:r>
        <w:rPr>
          <w:rFonts w:ascii="仿宋" w:eastAsia="仿宋" w:hAnsi="仿宋" w:hint="eastAsia"/>
          <w:sz w:val="32"/>
          <w:szCs w:val="32"/>
        </w:rPr>
        <w:t>202</w:t>
      </w:r>
      <w:r w:rsidR="00B168B4">
        <w:rPr>
          <w:rFonts w:ascii="仿宋" w:eastAsia="仿宋" w:hAnsi="仿宋" w:hint="eastAsia"/>
          <w:sz w:val="32"/>
          <w:szCs w:val="32"/>
        </w:rPr>
        <w:t>1</w:t>
      </w:r>
      <w:r w:rsidR="00AE6944">
        <w:rPr>
          <w:rFonts w:ascii="仿宋" w:eastAsia="仿宋" w:hAnsi="仿宋" w:hint="eastAsia"/>
          <w:sz w:val="32"/>
          <w:szCs w:val="32"/>
        </w:rPr>
        <w:t>年1月1日至</w:t>
      </w:r>
      <w:r>
        <w:rPr>
          <w:rFonts w:ascii="仿宋" w:eastAsia="仿宋" w:hAnsi="仿宋" w:hint="eastAsia"/>
          <w:sz w:val="32"/>
          <w:szCs w:val="32"/>
        </w:rPr>
        <w:t>202</w:t>
      </w:r>
      <w:r w:rsidR="00B168B4">
        <w:rPr>
          <w:rFonts w:ascii="仿宋" w:eastAsia="仿宋" w:hAnsi="仿宋" w:hint="eastAsia"/>
          <w:sz w:val="32"/>
          <w:szCs w:val="32"/>
        </w:rPr>
        <w:t>1</w:t>
      </w:r>
      <w:r w:rsidR="00AE6944">
        <w:rPr>
          <w:rFonts w:ascii="仿宋" w:eastAsia="仿宋" w:hAnsi="仿宋" w:hint="eastAsia"/>
          <w:sz w:val="32"/>
          <w:szCs w:val="32"/>
        </w:rPr>
        <w:t>年</w:t>
      </w:r>
      <w:r w:rsidR="00B168B4">
        <w:rPr>
          <w:rFonts w:ascii="仿宋" w:eastAsia="仿宋" w:hAnsi="仿宋" w:hint="eastAsia"/>
          <w:sz w:val="32"/>
          <w:szCs w:val="32"/>
        </w:rPr>
        <w:t>3</w:t>
      </w:r>
      <w:r w:rsidR="00AE6944">
        <w:rPr>
          <w:rFonts w:ascii="仿宋" w:eastAsia="仿宋" w:hAnsi="仿宋" w:hint="eastAsia"/>
          <w:sz w:val="32"/>
          <w:szCs w:val="32"/>
        </w:rPr>
        <w:t>月</w:t>
      </w:r>
      <w:r w:rsidR="00662776">
        <w:rPr>
          <w:rFonts w:ascii="仿宋" w:eastAsia="仿宋" w:hAnsi="仿宋" w:hint="eastAsia"/>
          <w:sz w:val="32"/>
          <w:szCs w:val="32"/>
        </w:rPr>
        <w:t>31</w:t>
      </w:r>
      <w:r w:rsidR="00B168B4">
        <w:rPr>
          <w:rFonts w:ascii="仿宋" w:eastAsia="仿宋" w:hAnsi="仿宋" w:hint="eastAsia"/>
          <w:sz w:val="32"/>
          <w:szCs w:val="32"/>
        </w:rPr>
        <w:t>日期间</w:t>
      </w:r>
      <w:r w:rsidR="00AE6944">
        <w:rPr>
          <w:rFonts w:ascii="仿宋" w:eastAsia="仿宋" w:hAnsi="仿宋" w:hint="eastAsia"/>
          <w:sz w:val="32"/>
          <w:szCs w:val="32"/>
        </w:rPr>
        <w:t>审判执行</w:t>
      </w:r>
      <w:r w:rsidR="00404E4A">
        <w:rPr>
          <w:rFonts w:ascii="仿宋" w:eastAsia="仿宋" w:hAnsi="仿宋" w:hint="eastAsia"/>
          <w:sz w:val="32"/>
          <w:szCs w:val="32"/>
        </w:rPr>
        <w:t>工作运行态势</w:t>
      </w:r>
      <w:r>
        <w:rPr>
          <w:rFonts w:ascii="仿宋" w:eastAsia="仿宋" w:hAnsi="仿宋" w:hint="eastAsia"/>
          <w:sz w:val="32"/>
          <w:szCs w:val="32"/>
        </w:rPr>
        <w:t>情况</w:t>
      </w:r>
      <w:r w:rsidR="00AE6944">
        <w:rPr>
          <w:rFonts w:ascii="仿宋" w:eastAsia="仿宋" w:hAnsi="仿宋" w:hint="eastAsia"/>
          <w:sz w:val="32"/>
          <w:szCs w:val="32"/>
        </w:rPr>
        <w:t>汇总分析</w:t>
      </w:r>
      <w:r>
        <w:rPr>
          <w:rFonts w:ascii="仿宋" w:eastAsia="仿宋" w:hAnsi="仿宋" w:hint="eastAsia"/>
          <w:sz w:val="32"/>
          <w:szCs w:val="32"/>
        </w:rPr>
        <w:t>如下：</w:t>
      </w:r>
    </w:p>
    <w:p w:rsidR="0033286B" w:rsidRPr="0045554F" w:rsidRDefault="00AE6944" w:rsidP="0045554F">
      <w:pPr>
        <w:spacing w:after="0" w:line="360" w:lineRule="auto"/>
        <w:ind w:firstLineChars="200" w:firstLine="640"/>
        <w:jc w:val="both"/>
        <w:rPr>
          <w:rFonts w:ascii="黑体" w:eastAsia="黑体" w:hAnsi="黑体"/>
          <w:color w:val="FF0000"/>
          <w:sz w:val="32"/>
          <w:szCs w:val="32"/>
        </w:rPr>
      </w:pPr>
      <w:r w:rsidRPr="0045554F">
        <w:rPr>
          <w:rFonts w:ascii="黑体" w:eastAsia="黑体" w:hAnsi="黑体" w:hint="eastAsia"/>
          <w:sz w:val="32"/>
          <w:szCs w:val="32"/>
        </w:rPr>
        <w:t>一、</w:t>
      </w:r>
      <w:r w:rsidR="0045554F" w:rsidRPr="0045554F">
        <w:rPr>
          <w:rFonts w:ascii="黑体" w:eastAsia="黑体" w:hAnsi="黑体" w:hint="eastAsia"/>
          <w:sz w:val="32"/>
          <w:szCs w:val="32"/>
        </w:rPr>
        <w:t>审判质效</w:t>
      </w:r>
    </w:p>
    <w:p w:rsidR="00BE3AFB" w:rsidRPr="0045554F" w:rsidRDefault="0045554F" w:rsidP="0045554F">
      <w:pPr>
        <w:spacing w:after="0" w:line="360" w:lineRule="auto"/>
        <w:ind w:firstLineChars="196" w:firstLine="630"/>
        <w:jc w:val="both"/>
        <w:rPr>
          <w:rFonts w:ascii="宋体" w:eastAsia="宋体" w:hAnsi="宋体"/>
          <w:b/>
          <w:sz w:val="32"/>
          <w:szCs w:val="32"/>
        </w:rPr>
      </w:pPr>
      <w:r w:rsidRPr="0045554F">
        <w:rPr>
          <w:rFonts w:ascii="宋体" w:eastAsia="宋体" w:hAnsi="宋体" w:hint="eastAsia"/>
          <w:b/>
          <w:sz w:val="32"/>
          <w:szCs w:val="32"/>
        </w:rPr>
        <w:t>（一）</w:t>
      </w:r>
      <w:r w:rsidR="00BE3AFB" w:rsidRPr="0045554F">
        <w:rPr>
          <w:rFonts w:ascii="宋体" w:eastAsia="宋体" w:hAnsi="宋体" w:hint="eastAsia"/>
          <w:b/>
          <w:sz w:val="32"/>
          <w:szCs w:val="32"/>
        </w:rPr>
        <w:t>收结案</w:t>
      </w:r>
      <w:r w:rsidRPr="0045554F">
        <w:rPr>
          <w:rFonts w:ascii="宋体" w:eastAsia="宋体" w:hAnsi="宋体" w:hint="eastAsia"/>
          <w:b/>
          <w:sz w:val="32"/>
          <w:szCs w:val="32"/>
        </w:rPr>
        <w:t>总体</w:t>
      </w:r>
      <w:r w:rsidR="00BE3AFB" w:rsidRPr="0045554F">
        <w:rPr>
          <w:rFonts w:ascii="宋体" w:eastAsia="宋体" w:hAnsi="宋体" w:hint="eastAsia"/>
          <w:b/>
          <w:sz w:val="32"/>
          <w:szCs w:val="32"/>
        </w:rPr>
        <w:t>情况</w:t>
      </w:r>
      <w:r w:rsidR="003E164D" w:rsidRPr="0045554F">
        <w:rPr>
          <w:rFonts w:ascii="宋体" w:eastAsia="宋体" w:hAnsi="宋体" w:hint="eastAsia"/>
          <w:b/>
          <w:sz w:val="32"/>
          <w:szCs w:val="32"/>
        </w:rPr>
        <w:t>：</w:t>
      </w:r>
    </w:p>
    <w:p w:rsidR="006F22F7" w:rsidRPr="00962D16" w:rsidRDefault="00B168B4" w:rsidP="00CB7D77">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202</w:t>
      </w:r>
      <w:r w:rsidRPr="00810555">
        <w:rPr>
          <w:rFonts w:ascii="仿宋" w:eastAsia="仿宋" w:hAnsi="仿宋" w:hint="eastAsia"/>
          <w:sz w:val="32"/>
          <w:szCs w:val="32"/>
        </w:rPr>
        <w:t>1年第一季度</w:t>
      </w:r>
      <w:r w:rsidR="00AE6944" w:rsidRPr="00810555">
        <w:rPr>
          <w:rFonts w:ascii="仿宋" w:eastAsia="仿宋" w:hAnsi="仿宋" w:hint="eastAsia"/>
          <w:sz w:val="32"/>
          <w:szCs w:val="32"/>
        </w:rPr>
        <w:t>共受理各类案件</w:t>
      </w:r>
      <w:r w:rsidR="008B0950" w:rsidRPr="00810555">
        <w:rPr>
          <w:rFonts w:ascii="仿宋" w:eastAsia="仿宋" w:hAnsi="仿宋" w:hint="eastAsia"/>
          <w:sz w:val="32"/>
          <w:szCs w:val="32"/>
        </w:rPr>
        <w:t>(</w:t>
      </w:r>
      <w:proofErr w:type="gramStart"/>
      <w:r w:rsidR="008B0950" w:rsidRPr="00810555">
        <w:rPr>
          <w:rFonts w:ascii="仿宋" w:eastAsia="仿宋" w:hAnsi="仿宋" w:hint="eastAsia"/>
          <w:sz w:val="32"/>
          <w:szCs w:val="32"/>
        </w:rPr>
        <w:t>含执行</w:t>
      </w:r>
      <w:proofErr w:type="gramEnd"/>
      <w:r w:rsidR="008B0950" w:rsidRPr="00810555">
        <w:rPr>
          <w:rFonts w:ascii="仿宋" w:eastAsia="仿宋" w:hAnsi="仿宋" w:hint="eastAsia"/>
          <w:sz w:val="32"/>
          <w:szCs w:val="32"/>
        </w:rPr>
        <w:t>)</w:t>
      </w:r>
      <w:r w:rsidR="007572C1" w:rsidRPr="00810555">
        <w:rPr>
          <w:rFonts w:ascii="仿宋" w:eastAsia="仿宋" w:hAnsi="仿宋" w:hint="eastAsia"/>
          <w:sz w:val="32"/>
          <w:szCs w:val="32"/>
        </w:rPr>
        <w:t>41</w:t>
      </w:r>
      <w:r w:rsidR="00AE6944" w:rsidRPr="00810555">
        <w:rPr>
          <w:rFonts w:ascii="仿宋" w:eastAsia="仿宋" w:hAnsi="仿宋" w:hint="eastAsia"/>
          <w:sz w:val="32"/>
          <w:szCs w:val="32"/>
        </w:rPr>
        <w:t>件。</w:t>
      </w:r>
      <w:r w:rsidR="00AE6944">
        <w:rPr>
          <w:rFonts w:ascii="仿宋" w:eastAsia="仿宋" w:hAnsi="仿宋" w:hint="eastAsia"/>
          <w:sz w:val="32"/>
          <w:szCs w:val="32"/>
        </w:rPr>
        <w:t>其中</w:t>
      </w:r>
      <w:r w:rsidR="00CB7D77">
        <w:rPr>
          <w:rFonts w:ascii="仿宋" w:eastAsia="仿宋" w:hAnsi="仿宋" w:hint="eastAsia"/>
          <w:sz w:val="32"/>
          <w:szCs w:val="32"/>
        </w:rPr>
        <w:t>,</w:t>
      </w:r>
      <w:proofErr w:type="gramStart"/>
      <w:r w:rsidR="00AE6944">
        <w:rPr>
          <w:rFonts w:ascii="仿宋" w:eastAsia="仿宋" w:hAnsi="仿宋" w:hint="eastAsia"/>
          <w:sz w:val="32"/>
          <w:szCs w:val="32"/>
        </w:rPr>
        <w:t>年转旧存</w:t>
      </w:r>
      <w:proofErr w:type="gramEnd"/>
      <w:r w:rsidR="007572C1">
        <w:rPr>
          <w:rFonts w:ascii="仿宋" w:eastAsia="仿宋" w:hAnsi="仿宋" w:hint="eastAsia"/>
          <w:sz w:val="32"/>
          <w:szCs w:val="32"/>
        </w:rPr>
        <w:t>0</w:t>
      </w:r>
      <w:r w:rsidR="00AE6944" w:rsidRPr="00962D16">
        <w:rPr>
          <w:rFonts w:ascii="仿宋" w:eastAsia="仿宋" w:hAnsi="仿宋" w:hint="eastAsia"/>
          <w:sz w:val="32"/>
          <w:szCs w:val="32"/>
        </w:rPr>
        <w:t>件，新收</w:t>
      </w:r>
      <w:r w:rsidR="007572C1">
        <w:rPr>
          <w:rFonts w:ascii="仿宋" w:eastAsia="仿宋" w:hAnsi="仿宋" w:hint="eastAsia"/>
          <w:sz w:val="32"/>
          <w:szCs w:val="32"/>
        </w:rPr>
        <w:t>41</w:t>
      </w:r>
      <w:r w:rsidR="00CB7D77" w:rsidRPr="00962D16">
        <w:rPr>
          <w:rFonts w:ascii="仿宋" w:eastAsia="仿宋" w:hAnsi="仿宋" w:hint="eastAsia"/>
          <w:sz w:val="32"/>
          <w:szCs w:val="32"/>
        </w:rPr>
        <w:t>件</w:t>
      </w:r>
      <w:r w:rsidR="00582CB2" w:rsidRPr="00962D16">
        <w:rPr>
          <w:rFonts w:ascii="仿宋" w:eastAsia="仿宋" w:hAnsi="仿宋" w:hint="eastAsia"/>
          <w:sz w:val="32"/>
          <w:szCs w:val="32"/>
        </w:rPr>
        <w:t>；</w:t>
      </w:r>
      <w:r w:rsidR="00AE6944" w:rsidRPr="00962D16">
        <w:rPr>
          <w:rFonts w:ascii="仿宋" w:eastAsia="仿宋" w:hAnsi="仿宋" w:hint="eastAsia"/>
          <w:sz w:val="32"/>
          <w:szCs w:val="32"/>
        </w:rPr>
        <w:t>审（执）结案</w:t>
      </w:r>
      <w:r w:rsidR="007572C1">
        <w:rPr>
          <w:rFonts w:ascii="仿宋" w:eastAsia="仿宋" w:hAnsi="仿宋" w:hint="eastAsia"/>
          <w:sz w:val="32"/>
          <w:szCs w:val="32"/>
        </w:rPr>
        <w:t>40</w:t>
      </w:r>
      <w:r w:rsidR="00AE6944" w:rsidRPr="00962D16">
        <w:rPr>
          <w:rFonts w:ascii="仿宋" w:eastAsia="仿宋" w:hAnsi="仿宋" w:hint="eastAsia"/>
          <w:sz w:val="32"/>
          <w:szCs w:val="32"/>
        </w:rPr>
        <w:t>件，</w:t>
      </w:r>
      <w:r w:rsidR="00CB7D77" w:rsidRPr="00962D16">
        <w:rPr>
          <w:rFonts w:ascii="仿宋" w:eastAsia="仿宋" w:hAnsi="仿宋" w:hint="eastAsia"/>
          <w:sz w:val="32"/>
          <w:szCs w:val="32"/>
        </w:rPr>
        <w:t>未结案件</w:t>
      </w:r>
      <w:r w:rsidR="007572C1">
        <w:rPr>
          <w:rFonts w:ascii="仿宋" w:eastAsia="仿宋" w:hAnsi="仿宋" w:hint="eastAsia"/>
          <w:sz w:val="32"/>
          <w:szCs w:val="32"/>
        </w:rPr>
        <w:t>1</w:t>
      </w:r>
      <w:r w:rsidR="00CB7D77" w:rsidRPr="00962D16">
        <w:rPr>
          <w:rFonts w:ascii="仿宋" w:eastAsia="仿宋" w:hAnsi="仿宋" w:hint="eastAsia"/>
          <w:sz w:val="32"/>
          <w:szCs w:val="32"/>
        </w:rPr>
        <w:t>件</w:t>
      </w:r>
      <w:r w:rsidR="00582CB2" w:rsidRPr="00962D16">
        <w:rPr>
          <w:rFonts w:ascii="仿宋" w:eastAsia="仿宋" w:hAnsi="仿宋" w:hint="eastAsia"/>
          <w:sz w:val="32"/>
          <w:szCs w:val="32"/>
        </w:rPr>
        <w:t>；</w:t>
      </w:r>
      <w:r w:rsidR="00AE6944" w:rsidRPr="00962D16">
        <w:rPr>
          <w:rFonts w:ascii="仿宋" w:eastAsia="仿宋" w:hAnsi="仿宋" w:hint="eastAsia"/>
          <w:sz w:val="32"/>
          <w:szCs w:val="32"/>
        </w:rPr>
        <w:t>结案率</w:t>
      </w:r>
      <w:r w:rsidR="007572C1">
        <w:rPr>
          <w:rFonts w:ascii="仿宋" w:eastAsia="仿宋" w:hAnsi="仿宋" w:hint="eastAsia"/>
          <w:sz w:val="32"/>
          <w:szCs w:val="32"/>
        </w:rPr>
        <w:t>97.56</w:t>
      </w:r>
      <w:r w:rsidR="00AE6944" w:rsidRPr="00962D16">
        <w:rPr>
          <w:rFonts w:ascii="仿宋" w:eastAsia="仿宋" w:hAnsi="仿宋" w:hint="eastAsia"/>
          <w:sz w:val="32"/>
          <w:szCs w:val="32"/>
        </w:rPr>
        <w:t>%</w:t>
      </w:r>
      <w:r w:rsidR="00CB7D77" w:rsidRPr="00962D16">
        <w:rPr>
          <w:rFonts w:ascii="仿宋" w:eastAsia="仿宋" w:hAnsi="仿宋" w:hint="eastAsia"/>
          <w:sz w:val="32"/>
          <w:szCs w:val="32"/>
        </w:rPr>
        <w:t>。</w:t>
      </w:r>
      <w:r w:rsidR="00CB7D77" w:rsidRPr="00962D16">
        <w:rPr>
          <w:rFonts w:ascii="仿宋" w:eastAsia="仿宋" w:hAnsi="仿宋"/>
          <w:sz w:val="32"/>
          <w:szCs w:val="32"/>
        </w:rPr>
        <w:t xml:space="preserve"> </w:t>
      </w:r>
    </w:p>
    <w:p w:rsidR="006F22F7" w:rsidRPr="00B97C70" w:rsidRDefault="00B168B4" w:rsidP="00810555">
      <w:pPr>
        <w:spacing w:after="0" w:line="360" w:lineRule="auto"/>
        <w:ind w:firstLineChars="200" w:firstLine="640"/>
        <w:rPr>
          <w:rFonts w:ascii="仿宋" w:eastAsia="仿宋" w:hAnsi="仿宋"/>
          <w:sz w:val="32"/>
          <w:szCs w:val="32"/>
        </w:rPr>
      </w:pPr>
      <w:r>
        <w:rPr>
          <w:rFonts w:ascii="仿宋" w:eastAsia="仿宋" w:hAnsi="仿宋" w:hint="eastAsia"/>
          <w:sz w:val="32"/>
          <w:szCs w:val="32"/>
        </w:rPr>
        <w:t>2021年第一季度</w:t>
      </w:r>
      <w:r w:rsidR="00AE6944" w:rsidRPr="003A7D82">
        <w:rPr>
          <w:rFonts w:ascii="仿宋" w:eastAsia="仿宋" w:hAnsi="仿宋" w:hint="eastAsia"/>
          <w:sz w:val="32"/>
          <w:szCs w:val="32"/>
        </w:rPr>
        <w:t>旧存减少</w:t>
      </w:r>
      <w:r w:rsidR="007572C1">
        <w:rPr>
          <w:rFonts w:ascii="仿宋" w:eastAsia="仿宋" w:hAnsi="仿宋" w:hint="eastAsia"/>
          <w:sz w:val="32"/>
          <w:szCs w:val="32"/>
        </w:rPr>
        <w:t>3</w:t>
      </w:r>
      <w:r w:rsidR="00AE6944" w:rsidRPr="003A7D82">
        <w:rPr>
          <w:rFonts w:ascii="仿宋" w:eastAsia="仿宋" w:hAnsi="仿宋" w:hint="eastAsia"/>
          <w:sz w:val="32"/>
          <w:szCs w:val="32"/>
        </w:rPr>
        <w:t>件，</w:t>
      </w:r>
      <w:r w:rsidR="00962D16" w:rsidRPr="003A7D82">
        <w:rPr>
          <w:rFonts w:ascii="仿宋" w:eastAsia="仿宋" w:hAnsi="仿宋" w:hint="eastAsia"/>
          <w:sz w:val="32"/>
          <w:szCs w:val="32"/>
        </w:rPr>
        <w:t>同比</w:t>
      </w:r>
      <w:r w:rsidR="00AE6944" w:rsidRPr="003A7D82">
        <w:rPr>
          <w:rFonts w:ascii="仿宋" w:eastAsia="仿宋" w:hAnsi="仿宋" w:hint="eastAsia"/>
          <w:sz w:val="32"/>
          <w:szCs w:val="32"/>
        </w:rPr>
        <w:t>下降</w:t>
      </w:r>
      <w:r w:rsidR="007572C1">
        <w:rPr>
          <w:rFonts w:ascii="仿宋" w:eastAsia="仿宋" w:hAnsi="仿宋" w:hint="eastAsia"/>
          <w:sz w:val="32"/>
          <w:szCs w:val="32"/>
        </w:rPr>
        <w:t>100.00</w:t>
      </w:r>
      <w:r w:rsidR="00AE6944" w:rsidRPr="003A7D82">
        <w:rPr>
          <w:rFonts w:ascii="仿宋" w:eastAsia="仿宋" w:hAnsi="仿宋" w:hint="eastAsia"/>
          <w:sz w:val="32"/>
          <w:szCs w:val="32"/>
        </w:rPr>
        <w:t>% ，新收</w:t>
      </w:r>
      <w:r w:rsidR="00FF074A" w:rsidRPr="003A7D82">
        <w:rPr>
          <w:rFonts w:ascii="仿宋" w:eastAsia="仿宋" w:hAnsi="仿宋" w:hint="eastAsia"/>
          <w:sz w:val="32"/>
          <w:szCs w:val="32"/>
        </w:rPr>
        <w:t>减少</w:t>
      </w:r>
      <w:r w:rsidR="007572C1">
        <w:rPr>
          <w:rFonts w:ascii="仿宋" w:eastAsia="仿宋" w:hAnsi="仿宋" w:hint="eastAsia"/>
          <w:sz w:val="32"/>
          <w:szCs w:val="32"/>
        </w:rPr>
        <w:t>1</w:t>
      </w:r>
      <w:r w:rsidR="00FF074A" w:rsidRPr="003A7D82">
        <w:rPr>
          <w:rFonts w:ascii="仿宋" w:eastAsia="仿宋" w:hAnsi="仿宋" w:hint="eastAsia"/>
          <w:sz w:val="32"/>
          <w:szCs w:val="32"/>
        </w:rPr>
        <w:t>9</w:t>
      </w:r>
      <w:r w:rsidR="00962D16" w:rsidRPr="003A7D82">
        <w:rPr>
          <w:rFonts w:ascii="仿宋" w:eastAsia="仿宋" w:hAnsi="仿宋" w:hint="eastAsia"/>
          <w:sz w:val="32"/>
          <w:szCs w:val="32"/>
        </w:rPr>
        <w:t>件，同比</w:t>
      </w:r>
      <w:r w:rsidR="00FF074A" w:rsidRPr="003A7D82">
        <w:rPr>
          <w:rFonts w:ascii="仿宋" w:eastAsia="仿宋" w:hAnsi="仿宋" w:hint="eastAsia"/>
          <w:sz w:val="32"/>
          <w:szCs w:val="32"/>
        </w:rPr>
        <w:t>下降</w:t>
      </w:r>
      <w:r w:rsidR="007572C1">
        <w:rPr>
          <w:rFonts w:ascii="仿宋" w:eastAsia="仿宋" w:hAnsi="仿宋" w:hint="eastAsia"/>
          <w:sz w:val="32"/>
          <w:szCs w:val="32"/>
        </w:rPr>
        <w:t>31.67</w:t>
      </w:r>
      <w:r w:rsidR="00962D16" w:rsidRPr="003A7D82">
        <w:rPr>
          <w:rFonts w:ascii="仿宋" w:eastAsia="仿宋" w:hAnsi="仿宋" w:hint="eastAsia"/>
          <w:sz w:val="32"/>
          <w:szCs w:val="32"/>
        </w:rPr>
        <w:t>%</w:t>
      </w:r>
      <w:r w:rsidR="00AE6944" w:rsidRPr="003A7D82">
        <w:rPr>
          <w:rFonts w:ascii="仿宋" w:eastAsia="仿宋" w:hAnsi="仿宋" w:hint="eastAsia"/>
          <w:sz w:val="32"/>
          <w:szCs w:val="32"/>
        </w:rPr>
        <w:t xml:space="preserve"> ；</w:t>
      </w:r>
      <w:r w:rsidR="00962D16" w:rsidRPr="003A7D82">
        <w:rPr>
          <w:rFonts w:ascii="仿宋" w:eastAsia="仿宋" w:hAnsi="仿宋" w:hint="eastAsia"/>
          <w:sz w:val="32"/>
          <w:szCs w:val="32"/>
        </w:rPr>
        <w:t>共受理</w:t>
      </w:r>
      <w:r w:rsidR="00AE6944" w:rsidRPr="003A7D82">
        <w:rPr>
          <w:rFonts w:ascii="仿宋" w:eastAsia="仿宋" w:hAnsi="仿宋" w:hint="eastAsia"/>
          <w:sz w:val="32"/>
          <w:szCs w:val="32"/>
        </w:rPr>
        <w:t>合计</w:t>
      </w:r>
      <w:r w:rsidR="00FF074A" w:rsidRPr="003A7D82">
        <w:rPr>
          <w:rFonts w:ascii="仿宋" w:eastAsia="仿宋" w:hAnsi="仿宋" w:hint="eastAsia"/>
          <w:sz w:val="32"/>
          <w:szCs w:val="32"/>
        </w:rPr>
        <w:t>减少</w:t>
      </w:r>
      <w:r w:rsidR="007572C1">
        <w:rPr>
          <w:rFonts w:ascii="仿宋" w:eastAsia="仿宋" w:hAnsi="仿宋" w:hint="eastAsia"/>
          <w:sz w:val="32"/>
          <w:szCs w:val="32"/>
        </w:rPr>
        <w:t>22</w:t>
      </w:r>
      <w:r w:rsidR="00AE6944" w:rsidRPr="003A7D82">
        <w:rPr>
          <w:rFonts w:ascii="仿宋" w:eastAsia="仿宋" w:hAnsi="仿宋" w:hint="eastAsia"/>
          <w:sz w:val="32"/>
          <w:szCs w:val="32"/>
        </w:rPr>
        <w:t>件，</w:t>
      </w:r>
      <w:r w:rsidR="00962D16" w:rsidRPr="003A7D82">
        <w:rPr>
          <w:rFonts w:ascii="仿宋" w:eastAsia="仿宋" w:hAnsi="仿宋" w:hint="eastAsia"/>
          <w:sz w:val="32"/>
          <w:szCs w:val="32"/>
        </w:rPr>
        <w:t>同比</w:t>
      </w:r>
      <w:r w:rsidR="00FF074A" w:rsidRPr="003A7D82">
        <w:rPr>
          <w:rFonts w:ascii="仿宋" w:eastAsia="仿宋" w:hAnsi="仿宋" w:hint="eastAsia"/>
          <w:sz w:val="32"/>
          <w:szCs w:val="32"/>
        </w:rPr>
        <w:t>下降</w:t>
      </w:r>
      <w:r w:rsidR="007572C1">
        <w:rPr>
          <w:rFonts w:ascii="仿宋" w:eastAsia="仿宋" w:hAnsi="仿宋" w:hint="eastAsia"/>
          <w:sz w:val="32"/>
          <w:szCs w:val="32"/>
        </w:rPr>
        <w:t>34.92</w:t>
      </w:r>
      <w:r w:rsidR="00AE6944" w:rsidRPr="003A7D82">
        <w:rPr>
          <w:rFonts w:ascii="仿宋" w:eastAsia="仿宋" w:hAnsi="仿宋" w:hint="eastAsia"/>
          <w:sz w:val="32"/>
          <w:szCs w:val="32"/>
        </w:rPr>
        <w:t>% ；结案</w:t>
      </w:r>
      <w:r w:rsidR="00FF074A" w:rsidRPr="003A7D82">
        <w:rPr>
          <w:rFonts w:ascii="仿宋" w:eastAsia="仿宋" w:hAnsi="仿宋" w:hint="eastAsia"/>
          <w:sz w:val="32"/>
          <w:szCs w:val="32"/>
        </w:rPr>
        <w:t>减少5</w:t>
      </w:r>
      <w:r w:rsidR="00AE6944" w:rsidRPr="003A7D82">
        <w:rPr>
          <w:rFonts w:ascii="仿宋" w:eastAsia="仿宋" w:hAnsi="仿宋" w:hint="eastAsia"/>
          <w:sz w:val="32"/>
          <w:szCs w:val="32"/>
        </w:rPr>
        <w:t>件，</w:t>
      </w:r>
      <w:r w:rsidR="00962D16" w:rsidRPr="003A7D82">
        <w:rPr>
          <w:rFonts w:ascii="仿宋" w:eastAsia="仿宋" w:hAnsi="仿宋" w:hint="eastAsia"/>
          <w:sz w:val="32"/>
          <w:szCs w:val="32"/>
        </w:rPr>
        <w:t>同比</w:t>
      </w:r>
      <w:r w:rsidR="003A7D82" w:rsidRPr="003A7D82">
        <w:rPr>
          <w:rFonts w:ascii="仿宋" w:eastAsia="仿宋" w:hAnsi="仿宋" w:hint="eastAsia"/>
          <w:sz w:val="32"/>
          <w:szCs w:val="32"/>
        </w:rPr>
        <w:t>下降1</w:t>
      </w:r>
      <w:r w:rsidR="007572C1">
        <w:rPr>
          <w:rFonts w:ascii="仿宋" w:eastAsia="仿宋" w:hAnsi="仿宋" w:hint="eastAsia"/>
          <w:sz w:val="32"/>
          <w:szCs w:val="32"/>
        </w:rPr>
        <w:t>1.11</w:t>
      </w:r>
      <w:r w:rsidR="00AE6944" w:rsidRPr="003A7D82">
        <w:rPr>
          <w:rFonts w:ascii="仿宋" w:eastAsia="仿宋" w:hAnsi="仿宋" w:hint="eastAsia"/>
          <w:sz w:val="32"/>
          <w:szCs w:val="32"/>
        </w:rPr>
        <w:t>%；</w:t>
      </w:r>
      <w:r w:rsidR="00595F71" w:rsidRPr="003A7D82">
        <w:rPr>
          <w:rFonts w:ascii="仿宋" w:eastAsia="仿宋" w:hAnsi="仿宋" w:hint="eastAsia"/>
          <w:sz w:val="32"/>
          <w:szCs w:val="32"/>
        </w:rPr>
        <w:t>未结案件减少</w:t>
      </w:r>
      <w:r w:rsidR="007572C1">
        <w:rPr>
          <w:rFonts w:ascii="仿宋" w:eastAsia="仿宋" w:hAnsi="仿宋" w:hint="eastAsia"/>
          <w:sz w:val="32"/>
          <w:szCs w:val="32"/>
        </w:rPr>
        <w:t>17</w:t>
      </w:r>
      <w:r w:rsidR="00595F71" w:rsidRPr="003A7D82">
        <w:rPr>
          <w:rFonts w:ascii="仿宋" w:eastAsia="仿宋" w:hAnsi="仿宋" w:hint="eastAsia"/>
          <w:sz w:val="32"/>
          <w:szCs w:val="32"/>
        </w:rPr>
        <w:t>件，同比下降</w:t>
      </w:r>
      <w:r w:rsidR="007572C1">
        <w:rPr>
          <w:rFonts w:ascii="仿宋" w:eastAsia="仿宋" w:hAnsi="仿宋" w:hint="eastAsia"/>
          <w:sz w:val="32"/>
          <w:szCs w:val="32"/>
        </w:rPr>
        <w:t>94.4</w:t>
      </w:r>
      <w:r w:rsidR="007572C1" w:rsidRPr="00810555">
        <w:rPr>
          <w:rFonts w:ascii="仿宋" w:eastAsia="仿宋" w:hAnsi="仿宋" w:hint="eastAsia"/>
          <w:sz w:val="32"/>
          <w:szCs w:val="32"/>
        </w:rPr>
        <w:t>4</w:t>
      </w:r>
      <w:r w:rsidR="00595F71" w:rsidRPr="00810555">
        <w:rPr>
          <w:rFonts w:ascii="仿宋" w:eastAsia="仿宋" w:hAnsi="仿宋" w:hint="eastAsia"/>
          <w:sz w:val="32"/>
          <w:szCs w:val="32"/>
        </w:rPr>
        <w:t>%</w:t>
      </w:r>
      <w:r w:rsidR="00810555" w:rsidRPr="00810555">
        <w:rPr>
          <w:rFonts w:ascii="仿宋" w:eastAsia="仿宋" w:hAnsi="仿宋" w:hint="eastAsia"/>
          <w:sz w:val="32"/>
          <w:szCs w:val="32"/>
        </w:rPr>
        <w:t>；结案率同比</w:t>
      </w:r>
      <w:r w:rsidR="00331E3F">
        <w:rPr>
          <w:rFonts w:ascii="仿宋" w:eastAsia="仿宋" w:hAnsi="仿宋" w:hint="eastAsia"/>
          <w:sz w:val="32"/>
          <w:szCs w:val="32"/>
        </w:rPr>
        <w:t>上升</w:t>
      </w:r>
      <w:r w:rsidR="00810555" w:rsidRPr="00810555">
        <w:rPr>
          <w:rFonts w:ascii="仿宋" w:eastAsia="仿宋" w:hAnsi="仿宋" w:hint="eastAsia"/>
          <w:sz w:val="32"/>
          <w:szCs w:val="32"/>
        </w:rPr>
        <w:t xml:space="preserve">26.13个百分点。 </w:t>
      </w:r>
      <w:r w:rsidR="00AE6944">
        <w:rPr>
          <w:rFonts w:asciiTheme="minorEastAsia" w:eastAsiaTheme="minorEastAsia" w:hAnsiTheme="minorEastAsia" w:hint="eastAsia"/>
          <w:b/>
          <w:noProof/>
          <w:sz w:val="36"/>
          <w:szCs w:val="36"/>
        </w:rPr>
        <w:drawing>
          <wp:inline distT="0" distB="0" distL="0" distR="0">
            <wp:extent cx="5734050" cy="2667000"/>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22F7" w:rsidRPr="00624F44" w:rsidRDefault="00B168B4" w:rsidP="00624F44">
      <w:pPr>
        <w:spacing w:after="0" w:line="360" w:lineRule="auto"/>
        <w:ind w:firstLineChars="645" w:firstLine="2064"/>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2021年第一季度</w:t>
      </w:r>
      <w:r w:rsidR="00810555">
        <w:rPr>
          <w:rFonts w:asciiTheme="minorEastAsia" w:eastAsiaTheme="minorEastAsia" w:hAnsiTheme="minorEastAsia" w:hint="eastAsia"/>
          <w:sz w:val="32"/>
          <w:szCs w:val="32"/>
        </w:rPr>
        <w:t>结案率</w:t>
      </w:r>
      <w:r w:rsidR="009F27C7" w:rsidRPr="00624F44">
        <w:rPr>
          <w:rFonts w:asciiTheme="minorEastAsia" w:eastAsiaTheme="minorEastAsia" w:hAnsiTheme="minorEastAsia" w:hint="eastAsia"/>
          <w:sz w:val="32"/>
          <w:szCs w:val="32"/>
        </w:rPr>
        <w:t>（含执行）</w:t>
      </w:r>
      <w:r w:rsidR="00AE6944" w:rsidRPr="00624F44">
        <w:rPr>
          <w:rFonts w:asciiTheme="minorEastAsia" w:eastAsiaTheme="minorEastAsia" w:hAnsiTheme="minorEastAsia" w:hint="eastAsia"/>
          <w:sz w:val="32"/>
          <w:szCs w:val="32"/>
        </w:rPr>
        <w:t>统计表</w:t>
      </w:r>
    </w:p>
    <w:tbl>
      <w:tblPr>
        <w:tblStyle w:val="a7"/>
        <w:tblpPr w:leftFromText="180" w:rightFromText="180" w:vertAnchor="text" w:horzAnchor="margin" w:tblpXSpec="center" w:tblpY="138"/>
        <w:tblW w:w="7823" w:type="dxa"/>
        <w:tblLayout w:type="fixed"/>
        <w:tblLook w:val="04A0"/>
      </w:tblPr>
      <w:tblGrid>
        <w:gridCol w:w="1101"/>
        <w:gridCol w:w="1134"/>
        <w:gridCol w:w="1134"/>
        <w:gridCol w:w="1417"/>
        <w:gridCol w:w="1418"/>
        <w:gridCol w:w="1619"/>
      </w:tblGrid>
      <w:tr w:rsidR="007572C1" w:rsidRPr="00624F44" w:rsidTr="007572C1">
        <w:trPr>
          <w:trHeight w:val="1129"/>
        </w:trPr>
        <w:tc>
          <w:tcPr>
            <w:tcW w:w="1101" w:type="dxa"/>
          </w:tcPr>
          <w:p w:rsidR="007572C1" w:rsidRPr="00624F44" w:rsidRDefault="007572C1" w:rsidP="00B03921">
            <w:pPr>
              <w:spacing w:after="0" w:line="360" w:lineRule="auto"/>
              <w:jc w:val="center"/>
              <w:rPr>
                <w:rFonts w:asciiTheme="minorEastAsia" w:eastAsiaTheme="minorEastAsia" w:hAnsiTheme="minorEastAsia"/>
                <w:sz w:val="32"/>
                <w:szCs w:val="32"/>
              </w:rPr>
            </w:pPr>
          </w:p>
          <w:p w:rsidR="007572C1" w:rsidRPr="00624F44" w:rsidRDefault="007572C1" w:rsidP="00B03921">
            <w:pPr>
              <w:spacing w:after="0" w:line="360" w:lineRule="auto"/>
              <w:jc w:val="center"/>
              <w:rPr>
                <w:rFonts w:asciiTheme="minorEastAsia" w:eastAsiaTheme="minorEastAsia" w:hAnsiTheme="minorEastAsia"/>
                <w:sz w:val="32"/>
                <w:szCs w:val="32"/>
              </w:rPr>
            </w:pPr>
            <w:r w:rsidRPr="00624F44">
              <w:rPr>
                <w:rFonts w:asciiTheme="minorEastAsia" w:eastAsiaTheme="minorEastAsia" w:hAnsiTheme="minorEastAsia" w:hint="eastAsia"/>
                <w:sz w:val="32"/>
                <w:szCs w:val="32"/>
              </w:rPr>
              <w:t>旧存</w:t>
            </w:r>
          </w:p>
        </w:tc>
        <w:tc>
          <w:tcPr>
            <w:tcW w:w="1134" w:type="dxa"/>
          </w:tcPr>
          <w:p w:rsidR="007572C1" w:rsidRPr="00624F44" w:rsidRDefault="007572C1" w:rsidP="00B03921">
            <w:pPr>
              <w:spacing w:after="0" w:line="360" w:lineRule="auto"/>
              <w:jc w:val="center"/>
              <w:rPr>
                <w:rFonts w:asciiTheme="minorEastAsia" w:eastAsiaTheme="minorEastAsia" w:hAnsiTheme="minorEastAsia"/>
                <w:sz w:val="32"/>
                <w:szCs w:val="32"/>
              </w:rPr>
            </w:pPr>
          </w:p>
          <w:p w:rsidR="007572C1" w:rsidRPr="00624F44" w:rsidRDefault="007572C1" w:rsidP="00B03921">
            <w:pPr>
              <w:spacing w:after="0" w:line="360" w:lineRule="auto"/>
              <w:jc w:val="center"/>
              <w:rPr>
                <w:rFonts w:asciiTheme="minorEastAsia" w:eastAsiaTheme="minorEastAsia" w:hAnsiTheme="minorEastAsia"/>
                <w:sz w:val="32"/>
                <w:szCs w:val="32"/>
              </w:rPr>
            </w:pPr>
            <w:r w:rsidRPr="00624F44">
              <w:rPr>
                <w:rFonts w:asciiTheme="minorEastAsia" w:eastAsiaTheme="minorEastAsia" w:hAnsiTheme="minorEastAsia" w:hint="eastAsia"/>
                <w:sz w:val="32"/>
                <w:szCs w:val="32"/>
              </w:rPr>
              <w:t>新收</w:t>
            </w:r>
          </w:p>
        </w:tc>
        <w:tc>
          <w:tcPr>
            <w:tcW w:w="1134" w:type="dxa"/>
          </w:tcPr>
          <w:p w:rsidR="007572C1" w:rsidRPr="00624F44" w:rsidRDefault="007572C1" w:rsidP="00B03921">
            <w:pPr>
              <w:spacing w:after="0" w:line="360" w:lineRule="auto"/>
              <w:jc w:val="center"/>
              <w:rPr>
                <w:rFonts w:asciiTheme="minorEastAsia" w:eastAsiaTheme="minorEastAsia" w:hAnsiTheme="minorEastAsia"/>
                <w:sz w:val="32"/>
                <w:szCs w:val="32"/>
              </w:rPr>
            </w:pPr>
          </w:p>
          <w:p w:rsidR="007572C1" w:rsidRPr="00624F44" w:rsidRDefault="007572C1" w:rsidP="00B03921">
            <w:pPr>
              <w:spacing w:after="0" w:line="360" w:lineRule="auto"/>
              <w:jc w:val="center"/>
              <w:rPr>
                <w:rFonts w:asciiTheme="minorEastAsia" w:eastAsiaTheme="minorEastAsia" w:hAnsiTheme="minorEastAsia"/>
                <w:sz w:val="32"/>
                <w:szCs w:val="32"/>
              </w:rPr>
            </w:pPr>
            <w:r w:rsidRPr="00624F44">
              <w:rPr>
                <w:rFonts w:asciiTheme="minorEastAsia" w:eastAsiaTheme="minorEastAsia" w:hAnsiTheme="minorEastAsia" w:hint="eastAsia"/>
                <w:sz w:val="32"/>
                <w:szCs w:val="32"/>
              </w:rPr>
              <w:t>未结</w:t>
            </w:r>
          </w:p>
        </w:tc>
        <w:tc>
          <w:tcPr>
            <w:tcW w:w="1417" w:type="dxa"/>
          </w:tcPr>
          <w:p w:rsidR="007572C1" w:rsidRPr="00624F44" w:rsidRDefault="007572C1" w:rsidP="00B03921">
            <w:pPr>
              <w:spacing w:after="0" w:line="360" w:lineRule="auto"/>
              <w:jc w:val="center"/>
              <w:rPr>
                <w:rFonts w:asciiTheme="minorEastAsia" w:eastAsiaTheme="minorEastAsia" w:hAnsiTheme="minorEastAsia"/>
                <w:sz w:val="32"/>
                <w:szCs w:val="32"/>
              </w:rPr>
            </w:pPr>
          </w:p>
          <w:p w:rsidR="007572C1" w:rsidRPr="00624F44" w:rsidRDefault="007572C1" w:rsidP="00B03921">
            <w:pPr>
              <w:spacing w:after="0" w:line="360" w:lineRule="auto"/>
              <w:jc w:val="center"/>
              <w:rPr>
                <w:rFonts w:asciiTheme="minorEastAsia" w:eastAsiaTheme="minorEastAsia" w:hAnsiTheme="minorEastAsia"/>
                <w:sz w:val="32"/>
                <w:szCs w:val="32"/>
              </w:rPr>
            </w:pPr>
            <w:r w:rsidRPr="00624F44">
              <w:rPr>
                <w:rFonts w:asciiTheme="minorEastAsia" w:eastAsiaTheme="minorEastAsia" w:hAnsiTheme="minorEastAsia" w:hint="eastAsia"/>
                <w:sz w:val="32"/>
                <w:szCs w:val="32"/>
              </w:rPr>
              <w:t>已结</w:t>
            </w:r>
          </w:p>
        </w:tc>
        <w:tc>
          <w:tcPr>
            <w:tcW w:w="1418" w:type="dxa"/>
          </w:tcPr>
          <w:p w:rsidR="007572C1" w:rsidRPr="00624F44" w:rsidRDefault="007572C1" w:rsidP="00B03921">
            <w:pPr>
              <w:spacing w:after="0" w:line="360" w:lineRule="auto"/>
              <w:jc w:val="center"/>
              <w:rPr>
                <w:rFonts w:asciiTheme="minorEastAsia" w:eastAsiaTheme="minorEastAsia" w:hAnsiTheme="minorEastAsia"/>
                <w:sz w:val="32"/>
                <w:szCs w:val="32"/>
              </w:rPr>
            </w:pPr>
          </w:p>
          <w:p w:rsidR="007572C1" w:rsidRPr="00624F44" w:rsidRDefault="007572C1" w:rsidP="00B03921">
            <w:pPr>
              <w:spacing w:after="0" w:line="360" w:lineRule="auto"/>
              <w:jc w:val="center"/>
              <w:rPr>
                <w:rFonts w:asciiTheme="minorEastAsia" w:eastAsiaTheme="minorEastAsia" w:hAnsiTheme="minorEastAsia"/>
                <w:sz w:val="32"/>
                <w:szCs w:val="32"/>
              </w:rPr>
            </w:pPr>
            <w:r w:rsidRPr="00624F44">
              <w:rPr>
                <w:rFonts w:asciiTheme="minorEastAsia" w:eastAsiaTheme="minorEastAsia" w:hAnsiTheme="minorEastAsia" w:hint="eastAsia"/>
                <w:sz w:val="32"/>
                <w:szCs w:val="32"/>
              </w:rPr>
              <w:t>总计</w:t>
            </w:r>
          </w:p>
        </w:tc>
        <w:tc>
          <w:tcPr>
            <w:tcW w:w="1619" w:type="dxa"/>
          </w:tcPr>
          <w:p w:rsidR="007572C1" w:rsidRPr="00624F44" w:rsidRDefault="007572C1" w:rsidP="00B03921">
            <w:pPr>
              <w:spacing w:after="0" w:line="360" w:lineRule="auto"/>
              <w:jc w:val="center"/>
              <w:rPr>
                <w:rFonts w:asciiTheme="minorEastAsia" w:eastAsiaTheme="minorEastAsia" w:hAnsiTheme="minorEastAsia"/>
                <w:sz w:val="32"/>
                <w:szCs w:val="32"/>
              </w:rPr>
            </w:pPr>
          </w:p>
          <w:p w:rsidR="007572C1" w:rsidRPr="00624F44" w:rsidRDefault="007572C1" w:rsidP="00B03921">
            <w:pPr>
              <w:spacing w:after="0" w:line="360" w:lineRule="auto"/>
              <w:jc w:val="center"/>
              <w:rPr>
                <w:rFonts w:asciiTheme="minorEastAsia" w:eastAsiaTheme="minorEastAsia" w:hAnsiTheme="minorEastAsia"/>
                <w:sz w:val="32"/>
                <w:szCs w:val="32"/>
              </w:rPr>
            </w:pPr>
            <w:r w:rsidRPr="00624F44">
              <w:rPr>
                <w:rFonts w:asciiTheme="minorEastAsia" w:eastAsiaTheme="minorEastAsia" w:hAnsiTheme="minorEastAsia" w:hint="eastAsia"/>
                <w:sz w:val="32"/>
                <w:szCs w:val="32"/>
              </w:rPr>
              <w:t>结案率</w:t>
            </w:r>
          </w:p>
        </w:tc>
      </w:tr>
      <w:tr w:rsidR="007572C1" w:rsidRPr="00624F44" w:rsidTr="007572C1">
        <w:trPr>
          <w:trHeight w:val="1019"/>
        </w:trPr>
        <w:tc>
          <w:tcPr>
            <w:tcW w:w="1101" w:type="dxa"/>
          </w:tcPr>
          <w:p w:rsidR="007572C1" w:rsidRPr="00624F44" w:rsidRDefault="007572C1" w:rsidP="001C3652">
            <w:pPr>
              <w:spacing w:after="0" w:line="360" w:lineRule="auto"/>
              <w:jc w:val="center"/>
              <w:rPr>
                <w:rFonts w:asciiTheme="minorEastAsia" w:eastAsiaTheme="minorEastAsia" w:hAnsiTheme="minorEastAsia"/>
                <w:color w:val="FF0000"/>
                <w:sz w:val="32"/>
                <w:szCs w:val="32"/>
              </w:rPr>
            </w:pPr>
          </w:p>
          <w:p w:rsidR="007572C1" w:rsidRPr="00624F44" w:rsidRDefault="00EB4770" w:rsidP="001C3652">
            <w:pPr>
              <w:spacing w:after="0" w:line="36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0</w:t>
            </w:r>
          </w:p>
        </w:tc>
        <w:tc>
          <w:tcPr>
            <w:tcW w:w="1134" w:type="dxa"/>
          </w:tcPr>
          <w:p w:rsidR="007572C1" w:rsidRDefault="007572C1" w:rsidP="001C3652">
            <w:pPr>
              <w:spacing w:after="0" w:line="360" w:lineRule="auto"/>
              <w:jc w:val="both"/>
              <w:rPr>
                <w:rFonts w:asciiTheme="minorEastAsia" w:eastAsiaTheme="minorEastAsia" w:hAnsiTheme="minorEastAsia"/>
                <w:sz w:val="32"/>
                <w:szCs w:val="32"/>
              </w:rPr>
            </w:pPr>
          </w:p>
          <w:p w:rsidR="007572C1" w:rsidRPr="00624F44" w:rsidRDefault="00EB4770" w:rsidP="00662776">
            <w:pPr>
              <w:spacing w:after="0" w:line="360" w:lineRule="auto"/>
              <w:ind w:firstLineChars="100" w:firstLine="32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41</w:t>
            </w:r>
          </w:p>
        </w:tc>
        <w:tc>
          <w:tcPr>
            <w:tcW w:w="1134" w:type="dxa"/>
          </w:tcPr>
          <w:p w:rsidR="007572C1" w:rsidRPr="00624F44" w:rsidRDefault="007572C1" w:rsidP="001C3652">
            <w:pPr>
              <w:spacing w:after="0" w:line="360" w:lineRule="auto"/>
              <w:jc w:val="center"/>
              <w:rPr>
                <w:rFonts w:asciiTheme="minorEastAsia" w:eastAsiaTheme="minorEastAsia" w:hAnsiTheme="minorEastAsia"/>
                <w:color w:val="FF0000"/>
                <w:sz w:val="32"/>
                <w:szCs w:val="32"/>
              </w:rPr>
            </w:pPr>
          </w:p>
          <w:p w:rsidR="007572C1" w:rsidRPr="00624F44" w:rsidRDefault="00EB4770" w:rsidP="001C3652">
            <w:pPr>
              <w:spacing w:after="0" w:line="36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1</w:t>
            </w:r>
          </w:p>
        </w:tc>
        <w:tc>
          <w:tcPr>
            <w:tcW w:w="1417" w:type="dxa"/>
          </w:tcPr>
          <w:p w:rsidR="007572C1" w:rsidRPr="00624F44" w:rsidRDefault="007572C1" w:rsidP="001C3652">
            <w:pPr>
              <w:spacing w:after="0" w:line="360" w:lineRule="auto"/>
              <w:jc w:val="center"/>
              <w:rPr>
                <w:rFonts w:asciiTheme="minorEastAsia" w:eastAsiaTheme="minorEastAsia" w:hAnsiTheme="minorEastAsia"/>
                <w:color w:val="FF0000"/>
                <w:sz w:val="32"/>
                <w:szCs w:val="32"/>
              </w:rPr>
            </w:pPr>
          </w:p>
          <w:p w:rsidR="007572C1" w:rsidRPr="00624F44" w:rsidRDefault="00EB4770" w:rsidP="001C3652">
            <w:pPr>
              <w:spacing w:after="0" w:line="36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40</w:t>
            </w:r>
          </w:p>
        </w:tc>
        <w:tc>
          <w:tcPr>
            <w:tcW w:w="1418" w:type="dxa"/>
          </w:tcPr>
          <w:p w:rsidR="007572C1" w:rsidRPr="00624F44" w:rsidRDefault="007572C1" w:rsidP="001C3652">
            <w:pPr>
              <w:spacing w:after="0" w:line="360" w:lineRule="auto"/>
              <w:jc w:val="center"/>
              <w:rPr>
                <w:rFonts w:asciiTheme="minorEastAsia" w:eastAsiaTheme="minorEastAsia" w:hAnsiTheme="minorEastAsia"/>
                <w:color w:val="FF0000"/>
                <w:sz w:val="32"/>
                <w:szCs w:val="32"/>
              </w:rPr>
            </w:pPr>
          </w:p>
          <w:p w:rsidR="007572C1" w:rsidRPr="00624F44" w:rsidRDefault="00EB4770" w:rsidP="001C3652">
            <w:pPr>
              <w:spacing w:after="0" w:line="36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41</w:t>
            </w:r>
          </w:p>
        </w:tc>
        <w:tc>
          <w:tcPr>
            <w:tcW w:w="1619" w:type="dxa"/>
          </w:tcPr>
          <w:p w:rsidR="007572C1" w:rsidRPr="00624F44" w:rsidRDefault="007572C1" w:rsidP="001C3652">
            <w:pPr>
              <w:spacing w:after="0" w:line="360" w:lineRule="auto"/>
              <w:jc w:val="center"/>
              <w:rPr>
                <w:rFonts w:asciiTheme="minorEastAsia" w:eastAsiaTheme="minorEastAsia" w:hAnsiTheme="minorEastAsia"/>
                <w:color w:val="FF0000"/>
                <w:sz w:val="32"/>
                <w:szCs w:val="32"/>
              </w:rPr>
            </w:pPr>
          </w:p>
          <w:p w:rsidR="007572C1" w:rsidRPr="00624F44" w:rsidRDefault="00EB4770" w:rsidP="001C3652">
            <w:pPr>
              <w:spacing w:after="0" w:line="36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97.56</w:t>
            </w:r>
            <w:r w:rsidR="007572C1" w:rsidRPr="00624F44">
              <w:rPr>
                <w:rFonts w:asciiTheme="minorEastAsia" w:eastAsiaTheme="minorEastAsia" w:hAnsiTheme="minorEastAsia" w:hint="eastAsia"/>
                <w:sz w:val="32"/>
                <w:szCs w:val="32"/>
              </w:rPr>
              <w:t>%</w:t>
            </w:r>
          </w:p>
        </w:tc>
      </w:tr>
    </w:tbl>
    <w:p w:rsidR="006F22F7" w:rsidRPr="00CB71E0" w:rsidRDefault="006F22F7" w:rsidP="00B03921">
      <w:pPr>
        <w:spacing w:after="0" w:line="360" w:lineRule="auto"/>
        <w:jc w:val="both"/>
        <w:rPr>
          <w:rFonts w:asciiTheme="minorEastAsia" w:eastAsiaTheme="minorEastAsia" w:hAnsiTheme="minorEastAsia"/>
          <w:b/>
          <w:color w:val="FF0000"/>
          <w:sz w:val="32"/>
          <w:szCs w:val="32"/>
        </w:rPr>
      </w:pPr>
    </w:p>
    <w:p w:rsidR="006F22F7" w:rsidRPr="0045554F" w:rsidRDefault="0045554F" w:rsidP="0045554F">
      <w:pPr>
        <w:spacing w:after="0" w:line="360" w:lineRule="auto"/>
        <w:ind w:firstLineChars="200" w:firstLine="643"/>
        <w:jc w:val="both"/>
        <w:rPr>
          <w:rFonts w:asciiTheme="majorEastAsia" w:eastAsiaTheme="majorEastAsia" w:hAnsiTheme="majorEastAsia"/>
          <w:b/>
          <w:sz w:val="32"/>
          <w:szCs w:val="32"/>
        </w:rPr>
      </w:pPr>
      <w:r w:rsidRPr="0045554F">
        <w:rPr>
          <w:rFonts w:asciiTheme="majorEastAsia" w:eastAsiaTheme="majorEastAsia" w:hAnsiTheme="majorEastAsia" w:hint="eastAsia"/>
          <w:b/>
          <w:sz w:val="32"/>
          <w:szCs w:val="32"/>
        </w:rPr>
        <w:t>（二</w:t>
      </w:r>
      <w:r w:rsidR="00AE6944" w:rsidRPr="0045554F">
        <w:rPr>
          <w:rFonts w:asciiTheme="majorEastAsia" w:eastAsiaTheme="majorEastAsia" w:hAnsiTheme="majorEastAsia" w:hint="eastAsia"/>
          <w:b/>
          <w:sz w:val="32"/>
          <w:szCs w:val="32"/>
        </w:rPr>
        <w:t>）</w:t>
      </w:r>
      <w:r w:rsidR="00B168B4">
        <w:rPr>
          <w:rFonts w:asciiTheme="majorEastAsia" w:eastAsiaTheme="majorEastAsia" w:hAnsiTheme="majorEastAsia" w:hint="eastAsia"/>
          <w:b/>
          <w:sz w:val="32"/>
          <w:szCs w:val="32"/>
        </w:rPr>
        <w:t>2021年第一季度</w:t>
      </w:r>
      <w:r w:rsidR="00AE6944" w:rsidRPr="0045554F">
        <w:rPr>
          <w:rFonts w:asciiTheme="majorEastAsia" w:eastAsiaTheme="majorEastAsia" w:hAnsiTheme="majorEastAsia" w:hint="eastAsia"/>
          <w:b/>
          <w:sz w:val="32"/>
          <w:szCs w:val="32"/>
        </w:rPr>
        <w:t>诉讼案件总体情况</w:t>
      </w:r>
    </w:p>
    <w:p w:rsidR="006F22F7" w:rsidRPr="002E60CA" w:rsidRDefault="00B168B4" w:rsidP="00B03921">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2021年第一季度</w:t>
      </w:r>
      <w:r w:rsidR="00AE6944" w:rsidRPr="002E60CA">
        <w:rPr>
          <w:rFonts w:ascii="仿宋" w:eastAsia="仿宋" w:hAnsi="仿宋" w:hint="eastAsia"/>
          <w:sz w:val="32"/>
          <w:szCs w:val="32"/>
        </w:rPr>
        <w:t>本院共受理诉讼案件</w:t>
      </w:r>
      <w:r w:rsidR="00EB4770">
        <w:rPr>
          <w:rFonts w:ascii="仿宋" w:eastAsia="仿宋" w:hAnsi="仿宋" w:hint="eastAsia"/>
          <w:sz w:val="32"/>
          <w:szCs w:val="32"/>
        </w:rPr>
        <w:t>15</w:t>
      </w:r>
      <w:r w:rsidR="00AE6944" w:rsidRPr="002E60CA">
        <w:rPr>
          <w:rFonts w:ascii="仿宋" w:eastAsia="仿宋" w:hAnsi="仿宋" w:hint="eastAsia"/>
          <w:sz w:val="32"/>
          <w:szCs w:val="32"/>
        </w:rPr>
        <w:t>件，其中</w:t>
      </w:r>
      <w:r w:rsidR="00355A16" w:rsidRPr="002E60CA">
        <w:rPr>
          <w:rFonts w:ascii="仿宋" w:eastAsia="仿宋" w:hAnsi="仿宋" w:hint="eastAsia"/>
          <w:sz w:val="32"/>
          <w:szCs w:val="32"/>
        </w:rPr>
        <w:t>，</w:t>
      </w:r>
      <w:r w:rsidR="00AE6944" w:rsidRPr="002E60CA">
        <w:rPr>
          <w:rFonts w:ascii="仿宋" w:eastAsia="仿宋" w:hAnsi="仿宋" w:hint="eastAsia"/>
          <w:sz w:val="32"/>
          <w:szCs w:val="32"/>
        </w:rPr>
        <w:t>旧存</w:t>
      </w:r>
      <w:r w:rsidR="00EB4770">
        <w:rPr>
          <w:rFonts w:ascii="仿宋" w:eastAsia="仿宋" w:hAnsi="仿宋" w:hint="eastAsia"/>
          <w:sz w:val="32"/>
          <w:szCs w:val="32"/>
        </w:rPr>
        <w:t>0</w:t>
      </w:r>
      <w:r w:rsidR="00AE6944" w:rsidRPr="002E60CA">
        <w:rPr>
          <w:rFonts w:ascii="仿宋" w:eastAsia="仿宋" w:hAnsi="仿宋" w:hint="eastAsia"/>
          <w:sz w:val="32"/>
          <w:szCs w:val="32"/>
        </w:rPr>
        <w:t>件，新收</w:t>
      </w:r>
      <w:r w:rsidR="00EB4770">
        <w:rPr>
          <w:rFonts w:ascii="仿宋" w:eastAsia="仿宋" w:hAnsi="仿宋" w:hint="eastAsia"/>
          <w:sz w:val="32"/>
          <w:szCs w:val="32"/>
        </w:rPr>
        <w:t>15</w:t>
      </w:r>
      <w:r w:rsidR="00AE6944" w:rsidRPr="002E60CA">
        <w:rPr>
          <w:rFonts w:ascii="仿宋" w:eastAsia="仿宋" w:hAnsi="仿宋" w:hint="eastAsia"/>
          <w:sz w:val="32"/>
          <w:szCs w:val="32"/>
        </w:rPr>
        <w:t>件，结案</w:t>
      </w:r>
      <w:r w:rsidR="00EB4770">
        <w:rPr>
          <w:rFonts w:ascii="仿宋" w:eastAsia="仿宋" w:hAnsi="仿宋" w:hint="eastAsia"/>
          <w:sz w:val="32"/>
          <w:szCs w:val="32"/>
        </w:rPr>
        <w:t>14</w:t>
      </w:r>
      <w:r w:rsidR="00AE6944" w:rsidRPr="002E60CA">
        <w:rPr>
          <w:rFonts w:ascii="仿宋" w:eastAsia="仿宋" w:hAnsi="仿宋" w:hint="eastAsia"/>
          <w:sz w:val="32"/>
          <w:szCs w:val="32"/>
        </w:rPr>
        <w:t>件，结案率</w:t>
      </w:r>
      <w:r w:rsidR="00EB4770">
        <w:rPr>
          <w:rFonts w:ascii="仿宋" w:eastAsia="仿宋" w:hAnsi="仿宋" w:hint="eastAsia"/>
          <w:sz w:val="32"/>
          <w:szCs w:val="32"/>
        </w:rPr>
        <w:t>93.33</w:t>
      </w:r>
      <w:r w:rsidR="00AE6944" w:rsidRPr="002E60CA">
        <w:rPr>
          <w:rFonts w:ascii="仿宋" w:eastAsia="仿宋" w:hAnsi="仿宋" w:hint="eastAsia"/>
          <w:sz w:val="32"/>
          <w:szCs w:val="32"/>
        </w:rPr>
        <w:t>%，未结案件</w:t>
      </w:r>
      <w:r w:rsidR="00EB4770">
        <w:rPr>
          <w:rFonts w:ascii="仿宋" w:eastAsia="仿宋" w:hAnsi="仿宋" w:hint="eastAsia"/>
          <w:sz w:val="32"/>
          <w:szCs w:val="32"/>
        </w:rPr>
        <w:t>1</w:t>
      </w:r>
      <w:r w:rsidR="00AE6944" w:rsidRPr="002E60CA">
        <w:rPr>
          <w:rFonts w:ascii="仿宋" w:eastAsia="仿宋" w:hAnsi="仿宋" w:hint="eastAsia"/>
          <w:sz w:val="32"/>
          <w:szCs w:val="32"/>
        </w:rPr>
        <w:t>件。</w:t>
      </w:r>
    </w:p>
    <w:p w:rsidR="00B914F3" w:rsidRPr="00B97C70" w:rsidRDefault="00B168B4" w:rsidP="00B03921">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2021年第一季度</w:t>
      </w:r>
      <w:r w:rsidR="00AE6944" w:rsidRPr="00B97C70">
        <w:rPr>
          <w:rFonts w:ascii="仿宋" w:eastAsia="仿宋" w:hAnsi="仿宋" w:hint="eastAsia"/>
          <w:sz w:val="32"/>
          <w:szCs w:val="32"/>
        </w:rPr>
        <w:t>诉讼类案件旧存减少</w:t>
      </w:r>
      <w:r w:rsidR="00EB4770">
        <w:rPr>
          <w:rFonts w:ascii="仿宋" w:eastAsia="仿宋" w:hAnsi="仿宋" w:hint="eastAsia"/>
          <w:sz w:val="32"/>
          <w:szCs w:val="32"/>
        </w:rPr>
        <w:t>2</w:t>
      </w:r>
      <w:r w:rsidR="00AE6944" w:rsidRPr="00B97C70">
        <w:rPr>
          <w:rFonts w:ascii="仿宋" w:eastAsia="仿宋" w:hAnsi="仿宋" w:hint="eastAsia"/>
          <w:sz w:val="32"/>
          <w:szCs w:val="32"/>
        </w:rPr>
        <w:t>件，</w:t>
      </w:r>
      <w:r w:rsidR="00595F71" w:rsidRPr="00B97C70">
        <w:rPr>
          <w:rFonts w:ascii="仿宋" w:eastAsia="仿宋" w:hAnsi="仿宋" w:hint="eastAsia"/>
          <w:sz w:val="32"/>
          <w:szCs w:val="32"/>
        </w:rPr>
        <w:t>同比</w:t>
      </w:r>
      <w:r w:rsidR="00AE6944" w:rsidRPr="00B97C70">
        <w:rPr>
          <w:rFonts w:ascii="仿宋" w:eastAsia="仿宋" w:hAnsi="仿宋" w:hint="eastAsia"/>
          <w:sz w:val="32"/>
          <w:szCs w:val="32"/>
        </w:rPr>
        <w:t>下降</w:t>
      </w:r>
      <w:r w:rsidR="00EB4770">
        <w:rPr>
          <w:rFonts w:ascii="仿宋" w:eastAsia="仿宋" w:hAnsi="仿宋" w:hint="eastAsia"/>
          <w:sz w:val="32"/>
          <w:szCs w:val="32"/>
        </w:rPr>
        <w:t>100.00</w:t>
      </w:r>
      <w:r w:rsidR="00AE6944" w:rsidRPr="00B97C70">
        <w:rPr>
          <w:rFonts w:ascii="仿宋" w:eastAsia="仿宋" w:hAnsi="仿宋" w:hint="eastAsia"/>
          <w:sz w:val="32"/>
          <w:szCs w:val="32"/>
        </w:rPr>
        <w:t>%，新收</w:t>
      </w:r>
      <w:r w:rsidR="003A7D82" w:rsidRPr="00B97C70">
        <w:rPr>
          <w:rFonts w:ascii="仿宋" w:eastAsia="仿宋" w:hAnsi="仿宋" w:hint="eastAsia"/>
          <w:sz w:val="32"/>
          <w:szCs w:val="32"/>
        </w:rPr>
        <w:t>减少</w:t>
      </w:r>
      <w:r w:rsidR="00EB4770">
        <w:rPr>
          <w:rFonts w:ascii="仿宋" w:eastAsia="仿宋" w:hAnsi="仿宋" w:hint="eastAsia"/>
          <w:sz w:val="32"/>
          <w:szCs w:val="32"/>
        </w:rPr>
        <w:t>18</w:t>
      </w:r>
      <w:r w:rsidR="00AE6944" w:rsidRPr="00B97C70">
        <w:rPr>
          <w:rFonts w:ascii="仿宋" w:eastAsia="仿宋" w:hAnsi="仿宋" w:hint="eastAsia"/>
          <w:sz w:val="32"/>
          <w:szCs w:val="32"/>
        </w:rPr>
        <w:t>件，</w:t>
      </w:r>
      <w:r w:rsidR="00595F71" w:rsidRPr="00B97C70">
        <w:rPr>
          <w:rFonts w:ascii="仿宋" w:eastAsia="仿宋" w:hAnsi="仿宋" w:hint="eastAsia"/>
          <w:sz w:val="32"/>
          <w:szCs w:val="32"/>
        </w:rPr>
        <w:t>同比</w:t>
      </w:r>
      <w:r w:rsidR="003A7D82" w:rsidRPr="00B97C70">
        <w:rPr>
          <w:rFonts w:ascii="仿宋" w:eastAsia="仿宋" w:hAnsi="仿宋" w:hint="eastAsia"/>
          <w:sz w:val="32"/>
          <w:szCs w:val="32"/>
        </w:rPr>
        <w:t>下降</w:t>
      </w:r>
      <w:r w:rsidR="00EB4770">
        <w:rPr>
          <w:rFonts w:ascii="仿宋" w:eastAsia="仿宋" w:hAnsi="仿宋" w:hint="eastAsia"/>
          <w:sz w:val="32"/>
          <w:szCs w:val="32"/>
        </w:rPr>
        <w:t>54.55</w:t>
      </w:r>
      <w:r w:rsidR="00AE6944" w:rsidRPr="00B97C70">
        <w:rPr>
          <w:rFonts w:ascii="仿宋" w:eastAsia="仿宋" w:hAnsi="仿宋" w:hint="eastAsia"/>
          <w:sz w:val="32"/>
          <w:szCs w:val="32"/>
        </w:rPr>
        <w:t>%；</w:t>
      </w:r>
      <w:r w:rsidR="00962D16" w:rsidRPr="00B97C70">
        <w:rPr>
          <w:rFonts w:ascii="仿宋" w:eastAsia="仿宋" w:hAnsi="仿宋" w:hint="eastAsia"/>
          <w:sz w:val="32"/>
          <w:szCs w:val="32"/>
        </w:rPr>
        <w:t>共受理</w:t>
      </w:r>
      <w:r w:rsidR="00AE6944" w:rsidRPr="00B97C70">
        <w:rPr>
          <w:rFonts w:ascii="仿宋" w:eastAsia="仿宋" w:hAnsi="仿宋" w:hint="eastAsia"/>
          <w:sz w:val="32"/>
          <w:szCs w:val="32"/>
        </w:rPr>
        <w:t>合计</w:t>
      </w:r>
      <w:r w:rsidR="003A7D82" w:rsidRPr="00B97C70">
        <w:rPr>
          <w:rFonts w:ascii="仿宋" w:eastAsia="仿宋" w:hAnsi="仿宋" w:hint="eastAsia"/>
          <w:sz w:val="32"/>
          <w:szCs w:val="32"/>
        </w:rPr>
        <w:t>减少</w:t>
      </w:r>
      <w:r w:rsidR="00EB4770">
        <w:rPr>
          <w:rFonts w:ascii="仿宋" w:eastAsia="仿宋" w:hAnsi="仿宋" w:hint="eastAsia"/>
          <w:sz w:val="32"/>
          <w:szCs w:val="32"/>
        </w:rPr>
        <w:t>20</w:t>
      </w:r>
      <w:r w:rsidR="00AE6944" w:rsidRPr="00B97C70">
        <w:rPr>
          <w:rFonts w:ascii="仿宋" w:eastAsia="仿宋" w:hAnsi="仿宋" w:hint="eastAsia"/>
          <w:sz w:val="32"/>
          <w:szCs w:val="32"/>
        </w:rPr>
        <w:t>件</w:t>
      </w:r>
      <w:r w:rsidR="00B914F3" w:rsidRPr="00B97C70">
        <w:rPr>
          <w:rFonts w:ascii="仿宋" w:eastAsia="仿宋" w:hAnsi="仿宋" w:hint="eastAsia"/>
          <w:sz w:val="32"/>
          <w:szCs w:val="32"/>
        </w:rPr>
        <w:t>，</w:t>
      </w:r>
      <w:r w:rsidR="00595F71" w:rsidRPr="00B97C70">
        <w:rPr>
          <w:rFonts w:ascii="仿宋" w:eastAsia="仿宋" w:hAnsi="仿宋" w:hint="eastAsia"/>
          <w:sz w:val="32"/>
          <w:szCs w:val="32"/>
        </w:rPr>
        <w:t>同比</w:t>
      </w:r>
      <w:r w:rsidR="003A7D82" w:rsidRPr="00B97C70">
        <w:rPr>
          <w:rFonts w:ascii="仿宋" w:eastAsia="仿宋" w:hAnsi="仿宋" w:hint="eastAsia"/>
          <w:sz w:val="32"/>
          <w:szCs w:val="32"/>
        </w:rPr>
        <w:t>下降</w:t>
      </w:r>
      <w:r w:rsidR="00EB4770">
        <w:rPr>
          <w:rFonts w:ascii="仿宋" w:eastAsia="仿宋" w:hAnsi="仿宋" w:hint="eastAsia"/>
          <w:sz w:val="32"/>
          <w:szCs w:val="32"/>
        </w:rPr>
        <w:t>57.14</w:t>
      </w:r>
      <w:r w:rsidR="00B914F3" w:rsidRPr="00B97C70">
        <w:rPr>
          <w:rFonts w:ascii="仿宋" w:eastAsia="仿宋" w:hAnsi="仿宋" w:hint="eastAsia"/>
          <w:sz w:val="32"/>
          <w:szCs w:val="32"/>
        </w:rPr>
        <w:t>%；结案</w:t>
      </w:r>
      <w:r w:rsidR="00B97C70" w:rsidRPr="00B97C70">
        <w:rPr>
          <w:rFonts w:ascii="仿宋" w:eastAsia="仿宋" w:hAnsi="仿宋" w:hint="eastAsia"/>
          <w:sz w:val="32"/>
          <w:szCs w:val="32"/>
        </w:rPr>
        <w:t>减少</w:t>
      </w:r>
      <w:r w:rsidR="00EB4770">
        <w:rPr>
          <w:rFonts w:ascii="仿宋" w:eastAsia="仿宋" w:hAnsi="仿宋" w:hint="eastAsia"/>
          <w:sz w:val="32"/>
          <w:szCs w:val="32"/>
        </w:rPr>
        <w:t>6</w:t>
      </w:r>
      <w:r w:rsidR="00B914F3" w:rsidRPr="00B97C70">
        <w:rPr>
          <w:rFonts w:ascii="仿宋" w:eastAsia="仿宋" w:hAnsi="仿宋" w:hint="eastAsia"/>
          <w:sz w:val="32"/>
          <w:szCs w:val="32"/>
        </w:rPr>
        <w:t>件，</w:t>
      </w:r>
      <w:r w:rsidR="00595F71" w:rsidRPr="00B97C70">
        <w:rPr>
          <w:rFonts w:ascii="仿宋" w:eastAsia="仿宋" w:hAnsi="仿宋" w:hint="eastAsia"/>
          <w:sz w:val="32"/>
          <w:szCs w:val="32"/>
        </w:rPr>
        <w:t>同比</w:t>
      </w:r>
      <w:r w:rsidR="00B97C70" w:rsidRPr="00B97C70">
        <w:rPr>
          <w:rFonts w:ascii="仿宋" w:eastAsia="仿宋" w:hAnsi="仿宋" w:hint="eastAsia"/>
          <w:sz w:val="32"/>
          <w:szCs w:val="32"/>
        </w:rPr>
        <w:t>下降</w:t>
      </w:r>
      <w:r w:rsidR="00EB4770">
        <w:rPr>
          <w:rFonts w:ascii="仿宋" w:eastAsia="仿宋" w:hAnsi="仿宋" w:hint="eastAsia"/>
          <w:sz w:val="32"/>
          <w:szCs w:val="32"/>
        </w:rPr>
        <w:t>30</w:t>
      </w:r>
      <w:r w:rsidR="00B914F3" w:rsidRPr="00B97C70">
        <w:rPr>
          <w:rFonts w:ascii="仿宋" w:eastAsia="仿宋" w:hAnsi="仿宋" w:hint="eastAsia"/>
          <w:sz w:val="32"/>
          <w:szCs w:val="32"/>
        </w:rPr>
        <w:t>% ；未结案件</w:t>
      </w:r>
      <w:r w:rsidR="00595F71" w:rsidRPr="00B97C70">
        <w:rPr>
          <w:rFonts w:ascii="仿宋" w:eastAsia="仿宋" w:hAnsi="仿宋" w:hint="eastAsia"/>
          <w:sz w:val="32"/>
          <w:szCs w:val="32"/>
        </w:rPr>
        <w:t>减少</w:t>
      </w:r>
      <w:r w:rsidR="00EB4770">
        <w:rPr>
          <w:rFonts w:ascii="仿宋" w:eastAsia="仿宋" w:hAnsi="仿宋" w:hint="eastAsia"/>
          <w:sz w:val="32"/>
          <w:szCs w:val="32"/>
        </w:rPr>
        <w:t>14</w:t>
      </w:r>
      <w:r w:rsidR="00B914F3" w:rsidRPr="00B97C70">
        <w:rPr>
          <w:rFonts w:ascii="仿宋" w:eastAsia="仿宋" w:hAnsi="仿宋" w:hint="eastAsia"/>
          <w:sz w:val="32"/>
          <w:szCs w:val="32"/>
        </w:rPr>
        <w:t>件，</w:t>
      </w:r>
      <w:r w:rsidR="00595F71" w:rsidRPr="00B97C70">
        <w:rPr>
          <w:rFonts w:ascii="仿宋" w:eastAsia="仿宋" w:hAnsi="仿宋" w:hint="eastAsia"/>
          <w:sz w:val="32"/>
          <w:szCs w:val="32"/>
        </w:rPr>
        <w:t>同比</w:t>
      </w:r>
      <w:r w:rsidR="00B914F3" w:rsidRPr="00B97C70">
        <w:rPr>
          <w:rFonts w:ascii="仿宋" w:eastAsia="仿宋" w:hAnsi="仿宋" w:hint="eastAsia"/>
          <w:sz w:val="32"/>
          <w:szCs w:val="32"/>
        </w:rPr>
        <w:t>下降</w:t>
      </w:r>
      <w:r w:rsidR="00EB4770">
        <w:rPr>
          <w:rFonts w:ascii="仿宋" w:eastAsia="仿宋" w:hAnsi="仿宋" w:hint="eastAsia"/>
          <w:sz w:val="32"/>
          <w:szCs w:val="32"/>
        </w:rPr>
        <w:t>93.33</w:t>
      </w:r>
      <w:r w:rsidR="00B914F3" w:rsidRPr="00B97C70">
        <w:rPr>
          <w:rFonts w:ascii="仿宋" w:eastAsia="仿宋" w:hAnsi="仿宋" w:hint="eastAsia"/>
          <w:sz w:val="32"/>
          <w:szCs w:val="32"/>
        </w:rPr>
        <w:t>%</w:t>
      </w:r>
      <w:r w:rsidR="00595F71" w:rsidRPr="00B97C70">
        <w:rPr>
          <w:rFonts w:ascii="仿宋" w:eastAsia="仿宋" w:hAnsi="仿宋" w:hint="eastAsia"/>
          <w:sz w:val="32"/>
          <w:szCs w:val="32"/>
        </w:rPr>
        <w:t>；</w:t>
      </w:r>
      <w:r w:rsidR="00733313" w:rsidRPr="00B97C70">
        <w:rPr>
          <w:rFonts w:ascii="仿宋" w:eastAsia="仿宋" w:hAnsi="仿宋" w:hint="eastAsia"/>
          <w:sz w:val="32"/>
          <w:szCs w:val="32"/>
        </w:rPr>
        <w:t>结案率</w:t>
      </w:r>
      <w:r w:rsidR="00C9507E">
        <w:rPr>
          <w:rFonts w:ascii="仿宋" w:eastAsia="仿宋" w:hAnsi="仿宋" w:hint="eastAsia"/>
          <w:sz w:val="32"/>
          <w:szCs w:val="32"/>
        </w:rPr>
        <w:t>同比</w:t>
      </w:r>
      <w:r w:rsidR="00733313" w:rsidRPr="00B97C70">
        <w:rPr>
          <w:rFonts w:ascii="仿宋" w:eastAsia="仿宋" w:hAnsi="仿宋" w:hint="eastAsia"/>
          <w:sz w:val="32"/>
          <w:szCs w:val="32"/>
        </w:rPr>
        <w:t>上升</w:t>
      </w:r>
      <w:r w:rsidR="00EB4770">
        <w:rPr>
          <w:rFonts w:ascii="仿宋" w:eastAsia="仿宋" w:hAnsi="仿宋" w:hint="eastAsia"/>
          <w:sz w:val="32"/>
          <w:szCs w:val="32"/>
        </w:rPr>
        <w:t>36.19个</w:t>
      </w:r>
      <w:r w:rsidR="00733313" w:rsidRPr="00B97C70">
        <w:rPr>
          <w:rFonts w:ascii="仿宋" w:eastAsia="仿宋" w:hAnsi="仿宋" w:hint="eastAsia"/>
          <w:sz w:val="32"/>
          <w:szCs w:val="32"/>
        </w:rPr>
        <w:t>百分点</w:t>
      </w:r>
      <w:r w:rsidR="00595F71" w:rsidRPr="00B97C70">
        <w:rPr>
          <w:rFonts w:ascii="仿宋" w:eastAsia="仿宋" w:hAnsi="仿宋" w:hint="eastAsia"/>
          <w:sz w:val="32"/>
          <w:szCs w:val="32"/>
        </w:rPr>
        <w:t>（见下图）</w:t>
      </w:r>
      <w:r w:rsidR="00B914F3" w:rsidRPr="00B97C70">
        <w:rPr>
          <w:rFonts w:ascii="仿宋" w:eastAsia="仿宋" w:hAnsi="仿宋" w:hint="eastAsia"/>
          <w:sz w:val="32"/>
          <w:szCs w:val="32"/>
        </w:rPr>
        <w:t>。</w:t>
      </w:r>
    </w:p>
    <w:p w:rsidR="004620A1" w:rsidRPr="00822552" w:rsidRDefault="00A4356A" w:rsidP="00822552">
      <w:pPr>
        <w:spacing w:after="0" w:line="360" w:lineRule="auto"/>
        <w:ind w:firstLineChars="200" w:firstLine="723"/>
        <w:jc w:val="both"/>
        <w:rPr>
          <w:rFonts w:ascii="仿宋" w:eastAsia="仿宋" w:hAnsi="仿宋"/>
          <w:sz w:val="32"/>
          <w:szCs w:val="32"/>
        </w:rPr>
      </w:pPr>
      <w:r>
        <w:rPr>
          <w:rFonts w:asciiTheme="minorEastAsia" w:eastAsiaTheme="minorEastAsia" w:hAnsiTheme="minorEastAsia"/>
          <w:b/>
          <w:noProof/>
          <w:sz w:val="36"/>
          <w:szCs w:val="36"/>
        </w:rPr>
        <w:drawing>
          <wp:inline distT="0" distB="0" distL="0" distR="0">
            <wp:extent cx="5374005" cy="2619375"/>
            <wp:effectExtent l="19050" t="0" r="17145" b="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914F3">
        <w:rPr>
          <w:rFonts w:ascii="仿宋" w:eastAsia="仿宋" w:hAnsi="仿宋"/>
          <w:sz w:val="32"/>
          <w:szCs w:val="32"/>
        </w:rPr>
        <w:t xml:space="preserve"> </w:t>
      </w:r>
    </w:p>
    <w:p w:rsidR="006F22F7" w:rsidRPr="00970B69" w:rsidRDefault="00B168B4" w:rsidP="00970B69">
      <w:pPr>
        <w:spacing w:after="0" w:line="360" w:lineRule="auto"/>
        <w:ind w:firstLineChars="750" w:firstLine="2400"/>
        <w:jc w:val="both"/>
        <w:rPr>
          <w:rFonts w:asciiTheme="minorEastAsia" w:eastAsiaTheme="minorEastAsia" w:hAnsiTheme="minorEastAsia"/>
          <w:sz w:val="32"/>
          <w:szCs w:val="32"/>
        </w:rPr>
      </w:pPr>
      <w:r>
        <w:rPr>
          <w:rFonts w:asciiTheme="minorEastAsia" w:eastAsiaTheme="minorEastAsia" w:hAnsiTheme="minorEastAsia" w:hint="eastAsia"/>
          <w:sz w:val="32"/>
          <w:szCs w:val="32"/>
        </w:rPr>
        <w:t>2021年第一季度</w:t>
      </w:r>
      <w:r w:rsidR="00AE6944" w:rsidRPr="00970B69">
        <w:rPr>
          <w:rFonts w:asciiTheme="minorEastAsia" w:eastAsiaTheme="minorEastAsia" w:hAnsiTheme="minorEastAsia" w:hint="eastAsia"/>
          <w:sz w:val="32"/>
          <w:szCs w:val="32"/>
        </w:rPr>
        <w:t>诉讼案件结案率统计表</w:t>
      </w:r>
    </w:p>
    <w:tbl>
      <w:tblPr>
        <w:tblW w:w="8669" w:type="dxa"/>
        <w:jc w:val="center"/>
        <w:tblCellSpacing w:w="0" w:type="dxa"/>
        <w:tblInd w:w="-30" w:type="dxa"/>
        <w:tblLayout w:type="fixed"/>
        <w:tblCellMar>
          <w:left w:w="0" w:type="dxa"/>
          <w:right w:w="0" w:type="dxa"/>
        </w:tblCellMar>
        <w:tblLook w:val="04A0"/>
      </w:tblPr>
      <w:tblGrid>
        <w:gridCol w:w="2149"/>
        <w:gridCol w:w="1128"/>
        <w:gridCol w:w="792"/>
        <w:gridCol w:w="1134"/>
        <w:gridCol w:w="936"/>
        <w:gridCol w:w="971"/>
        <w:gridCol w:w="1559"/>
      </w:tblGrid>
      <w:tr w:rsidR="006F22F7" w:rsidTr="00822552">
        <w:trPr>
          <w:trHeight w:val="1194"/>
          <w:tblCellSpacing w:w="0" w:type="dxa"/>
          <w:jc w:val="center"/>
        </w:trPr>
        <w:tc>
          <w:tcPr>
            <w:tcW w:w="2149" w:type="dxa"/>
            <w:tcBorders>
              <w:top w:val="single" w:sz="12" w:space="0" w:color="FFFFFF"/>
              <w:bottom w:val="single" w:sz="12" w:space="0" w:color="FFFFFF"/>
              <w:right w:val="single" w:sz="12" w:space="0" w:color="FFFFFF"/>
            </w:tcBorders>
            <w:shd w:val="clear" w:color="auto" w:fill="A3C0E0"/>
            <w:vAlign w:val="center"/>
          </w:tcPr>
          <w:tbl>
            <w:tblPr>
              <w:tblW w:w="2444" w:type="dxa"/>
              <w:tblCellSpacing w:w="0" w:type="dxa"/>
              <w:tblLayout w:type="fixed"/>
              <w:tblCellMar>
                <w:left w:w="0" w:type="dxa"/>
                <w:right w:w="0" w:type="dxa"/>
              </w:tblCellMar>
              <w:tblLook w:val="04A0"/>
            </w:tblPr>
            <w:tblGrid>
              <w:gridCol w:w="2444"/>
            </w:tblGrid>
            <w:tr w:rsidR="006F22F7">
              <w:trPr>
                <w:trHeight w:val="617"/>
                <w:tblCellSpacing w:w="0" w:type="dxa"/>
              </w:trPr>
              <w:tc>
                <w:tcPr>
                  <w:tcW w:w="2444" w:type="dxa"/>
                  <w:vAlign w:val="center"/>
                </w:tcPr>
                <w:p w:rsidR="006F22F7" w:rsidRDefault="00AE6944" w:rsidP="00B03921">
                  <w:pPr>
                    <w:adjustRightInd/>
                    <w:snapToGrid/>
                    <w:spacing w:after="0" w:line="360" w:lineRule="auto"/>
                    <w:jc w:val="center"/>
                    <w:rPr>
                      <w:rFonts w:ascii="宋体" w:eastAsia="宋体" w:hAnsi="宋体" w:cs="Tahoma"/>
                      <w:color w:val="333333"/>
                      <w:sz w:val="20"/>
                      <w:szCs w:val="20"/>
                    </w:rPr>
                  </w:pPr>
                  <w:r>
                    <w:rPr>
                      <w:rFonts w:ascii="宋体" w:eastAsia="宋体" w:hAnsi="宋体" w:cs="Tahoma" w:hint="eastAsia"/>
                      <w:color w:val="333333"/>
                      <w:sz w:val="20"/>
                      <w:szCs w:val="20"/>
                    </w:rPr>
                    <w:lastRenderedPageBreak/>
                    <w:t>时间</w:t>
                  </w:r>
                </w:p>
              </w:tc>
            </w:tr>
          </w:tbl>
          <w:p w:rsidR="006F22F7" w:rsidRDefault="006F22F7" w:rsidP="00B03921">
            <w:pPr>
              <w:adjustRightInd/>
              <w:snapToGrid/>
              <w:spacing w:after="0" w:line="360" w:lineRule="auto"/>
              <w:rPr>
                <w:rFonts w:eastAsia="宋体" w:cs="Tahoma"/>
                <w:sz w:val="20"/>
                <w:szCs w:val="20"/>
              </w:rPr>
            </w:pPr>
          </w:p>
        </w:tc>
        <w:tc>
          <w:tcPr>
            <w:tcW w:w="1128" w:type="dxa"/>
            <w:tcBorders>
              <w:top w:val="single" w:sz="12" w:space="0" w:color="FFFFFF"/>
              <w:bottom w:val="single" w:sz="12" w:space="0" w:color="FFFFFF"/>
              <w:right w:val="single" w:sz="12" w:space="0" w:color="FFFFFF"/>
            </w:tcBorders>
            <w:shd w:val="clear" w:color="auto" w:fill="A3C0E0"/>
            <w:vAlign w:val="center"/>
          </w:tcPr>
          <w:tbl>
            <w:tblPr>
              <w:tblW w:w="751" w:type="dxa"/>
              <w:tblCellSpacing w:w="0" w:type="dxa"/>
              <w:tblLayout w:type="fixed"/>
              <w:tblCellMar>
                <w:left w:w="0" w:type="dxa"/>
                <w:right w:w="0" w:type="dxa"/>
              </w:tblCellMar>
              <w:tblLook w:val="04A0"/>
            </w:tblPr>
            <w:tblGrid>
              <w:gridCol w:w="751"/>
            </w:tblGrid>
            <w:tr w:rsidR="006F22F7">
              <w:trPr>
                <w:trHeight w:val="617"/>
                <w:tblCellSpacing w:w="0" w:type="dxa"/>
              </w:trPr>
              <w:tc>
                <w:tcPr>
                  <w:tcW w:w="751" w:type="dxa"/>
                  <w:vAlign w:val="center"/>
                </w:tcPr>
                <w:p w:rsidR="006F22F7" w:rsidRDefault="00AE6944" w:rsidP="00B03921">
                  <w:pPr>
                    <w:adjustRightInd/>
                    <w:snapToGrid/>
                    <w:spacing w:after="0" w:line="360" w:lineRule="auto"/>
                    <w:jc w:val="center"/>
                    <w:rPr>
                      <w:rFonts w:ascii="宋体" w:eastAsia="宋体" w:hAnsi="宋体" w:cs="Tahoma"/>
                      <w:color w:val="333333"/>
                      <w:sz w:val="20"/>
                      <w:szCs w:val="20"/>
                    </w:rPr>
                  </w:pPr>
                  <w:r>
                    <w:rPr>
                      <w:rFonts w:ascii="宋体" w:eastAsia="宋体" w:hAnsi="宋体" w:cs="Tahoma" w:hint="eastAsia"/>
                      <w:color w:val="333333"/>
                      <w:sz w:val="20"/>
                      <w:szCs w:val="20"/>
                    </w:rPr>
                    <w:t>旧存</w:t>
                  </w:r>
                </w:p>
              </w:tc>
            </w:tr>
          </w:tbl>
          <w:p w:rsidR="006F22F7" w:rsidRDefault="006F22F7" w:rsidP="00B03921">
            <w:pPr>
              <w:adjustRightInd/>
              <w:snapToGrid/>
              <w:spacing w:after="0" w:line="360" w:lineRule="auto"/>
              <w:rPr>
                <w:rFonts w:eastAsia="宋体" w:cs="Tahoma"/>
                <w:sz w:val="20"/>
                <w:szCs w:val="20"/>
              </w:rPr>
            </w:pPr>
          </w:p>
        </w:tc>
        <w:tc>
          <w:tcPr>
            <w:tcW w:w="792" w:type="dxa"/>
            <w:tcBorders>
              <w:top w:val="single" w:sz="12" w:space="0" w:color="FFFFFF"/>
              <w:bottom w:val="single" w:sz="12" w:space="0" w:color="FFFFFF"/>
              <w:right w:val="single" w:sz="12" w:space="0" w:color="FFFFFF"/>
            </w:tcBorders>
            <w:shd w:val="clear" w:color="auto" w:fill="A3C0E0"/>
            <w:vAlign w:val="center"/>
          </w:tcPr>
          <w:tbl>
            <w:tblPr>
              <w:tblW w:w="751" w:type="dxa"/>
              <w:tblCellSpacing w:w="0" w:type="dxa"/>
              <w:tblLayout w:type="fixed"/>
              <w:tblCellMar>
                <w:left w:w="0" w:type="dxa"/>
                <w:right w:w="0" w:type="dxa"/>
              </w:tblCellMar>
              <w:tblLook w:val="04A0"/>
            </w:tblPr>
            <w:tblGrid>
              <w:gridCol w:w="751"/>
            </w:tblGrid>
            <w:tr w:rsidR="006F22F7">
              <w:trPr>
                <w:trHeight w:val="617"/>
                <w:tblCellSpacing w:w="0" w:type="dxa"/>
              </w:trPr>
              <w:tc>
                <w:tcPr>
                  <w:tcW w:w="751" w:type="dxa"/>
                  <w:vAlign w:val="center"/>
                </w:tcPr>
                <w:p w:rsidR="006F22F7" w:rsidRDefault="00AE6944" w:rsidP="00B03921">
                  <w:pPr>
                    <w:adjustRightInd/>
                    <w:snapToGrid/>
                    <w:spacing w:after="0" w:line="360" w:lineRule="auto"/>
                    <w:jc w:val="center"/>
                    <w:rPr>
                      <w:rFonts w:ascii="宋体" w:eastAsia="宋体" w:hAnsi="宋体" w:cs="Tahoma"/>
                      <w:color w:val="333333"/>
                      <w:sz w:val="20"/>
                      <w:szCs w:val="20"/>
                    </w:rPr>
                  </w:pPr>
                  <w:r>
                    <w:rPr>
                      <w:rFonts w:ascii="宋体" w:eastAsia="宋体" w:hAnsi="宋体" w:cs="Tahoma" w:hint="eastAsia"/>
                      <w:color w:val="333333"/>
                      <w:sz w:val="20"/>
                      <w:szCs w:val="20"/>
                    </w:rPr>
                    <w:t>新收</w:t>
                  </w:r>
                </w:p>
              </w:tc>
            </w:tr>
          </w:tbl>
          <w:p w:rsidR="006F22F7" w:rsidRDefault="006F22F7" w:rsidP="00B03921">
            <w:pPr>
              <w:adjustRightInd/>
              <w:snapToGrid/>
              <w:spacing w:after="0" w:line="360" w:lineRule="auto"/>
              <w:rPr>
                <w:rFonts w:eastAsia="宋体" w:cs="Tahoma"/>
                <w:sz w:val="20"/>
                <w:szCs w:val="20"/>
              </w:rPr>
            </w:pPr>
          </w:p>
        </w:tc>
        <w:tc>
          <w:tcPr>
            <w:tcW w:w="1134" w:type="dxa"/>
            <w:tcBorders>
              <w:top w:val="single" w:sz="12" w:space="0" w:color="FFFFFF"/>
              <w:bottom w:val="single" w:sz="12" w:space="0" w:color="FFFFFF"/>
              <w:right w:val="single" w:sz="12" w:space="0" w:color="FFFFFF"/>
            </w:tcBorders>
            <w:shd w:val="clear" w:color="auto" w:fill="A3C0E0"/>
            <w:vAlign w:val="center"/>
          </w:tcPr>
          <w:tbl>
            <w:tblPr>
              <w:tblW w:w="1088" w:type="dxa"/>
              <w:tblCellSpacing w:w="0" w:type="dxa"/>
              <w:tblLayout w:type="fixed"/>
              <w:tblCellMar>
                <w:left w:w="0" w:type="dxa"/>
                <w:right w:w="0" w:type="dxa"/>
              </w:tblCellMar>
              <w:tblLook w:val="04A0"/>
            </w:tblPr>
            <w:tblGrid>
              <w:gridCol w:w="1088"/>
            </w:tblGrid>
            <w:tr w:rsidR="006F22F7">
              <w:trPr>
                <w:trHeight w:val="617"/>
                <w:tblCellSpacing w:w="0" w:type="dxa"/>
              </w:trPr>
              <w:tc>
                <w:tcPr>
                  <w:tcW w:w="1088" w:type="dxa"/>
                  <w:vAlign w:val="center"/>
                </w:tcPr>
                <w:p w:rsidR="006F22F7" w:rsidRDefault="00AE6944" w:rsidP="00B03921">
                  <w:pPr>
                    <w:adjustRightInd/>
                    <w:snapToGrid/>
                    <w:spacing w:after="0" w:line="360" w:lineRule="auto"/>
                    <w:jc w:val="center"/>
                    <w:rPr>
                      <w:rFonts w:ascii="宋体" w:eastAsia="宋体" w:hAnsi="宋体" w:cs="Tahoma"/>
                      <w:color w:val="333333"/>
                      <w:sz w:val="20"/>
                      <w:szCs w:val="20"/>
                    </w:rPr>
                  </w:pPr>
                  <w:r>
                    <w:rPr>
                      <w:rFonts w:ascii="宋体" w:eastAsia="宋体" w:hAnsi="宋体" w:cs="Tahoma" w:hint="eastAsia"/>
                      <w:color w:val="333333"/>
                      <w:sz w:val="20"/>
                      <w:szCs w:val="20"/>
                    </w:rPr>
                    <w:t>受理统计</w:t>
                  </w:r>
                </w:p>
              </w:tc>
            </w:tr>
          </w:tbl>
          <w:p w:rsidR="006F22F7" w:rsidRDefault="006F22F7" w:rsidP="00B03921">
            <w:pPr>
              <w:adjustRightInd/>
              <w:snapToGrid/>
              <w:spacing w:after="0" w:line="360" w:lineRule="auto"/>
              <w:rPr>
                <w:rFonts w:eastAsia="宋体" w:cs="Tahoma"/>
                <w:sz w:val="20"/>
                <w:szCs w:val="20"/>
              </w:rPr>
            </w:pPr>
          </w:p>
        </w:tc>
        <w:tc>
          <w:tcPr>
            <w:tcW w:w="936" w:type="dxa"/>
            <w:tcBorders>
              <w:top w:val="single" w:sz="12" w:space="0" w:color="FFFFFF"/>
              <w:bottom w:val="single" w:sz="12" w:space="0" w:color="FFFFFF"/>
              <w:right w:val="single" w:sz="12" w:space="0" w:color="FFFFFF"/>
            </w:tcBorders>
            <w:shd w:val="clear" w:color="auto" w:fill="A3C0E0"/>
            <w:vAlign w:val="center"/>
          </w:tcPr>
          <w:tbl>
            <w:tblPr>
              <w:tblW w:w="906" w:type="dxa"/>
              <w:tblCellSpacing w:w="0" w:type="dxa"/>
              <w:tblLayout w:type="fixed"/>
              <w:tblCellMar>
                <w:left w:w="0" w:type="dxa"/>
                <w:right w:w="0" w:type="dxa"/>
              </w:tblCellMar>
              <w:tblLook w:val="04A0"/>
            </w:tblPr>
            <w:tblGrid>
              <w:gridCol w:w="906"/>
            </w:tblGrid>
            <w:tr w:rsidR="006F22F7">
              <w:trPr>
                <w:trHeight w:val="617"/>
                <w:tblCellSpacing w:w="0" w:type="dxa"/>
              </w:trPr>
              <w:tc>
                <w:tcPr>
                  <w:tcW w:w="906" w:type="dxa"/>
                  <w:vAlign w:val="center"/>
                </w:tcPr>
                <w:p w:rsidR="006F22F7" w:rsidRDefault="00AE6944" w:rsidP="00B03921">
                  <w:pPr>
                    <w:adjustRightInd/>
                    <w:snapToGrid/>
                    <w:spacing w:after="0" w:line="360" w:lineRule="auto"/>
                    <w:jc w:val="center"/>
                    <w:rPr>
                      <w:rFonts w:ascii="宋体" w:eastAsia="宋体" w:hAnsi="宋体" w:cs="Tahoma"/>
                      <w:color w:val="333333"/>
                      <w:sz w:val="20"/>
                      <w:szCs w:val="20"/>
                    </w:rPr>
                  </w:pPr>
                  <w:r>
                    <w:rPr>
                      <w:rFonts w:ascii="宋体" w:eastAsia="宋体" w:hAnsi="宋体" w:cs="Tahoma" w:hint="eastAsia"/>
                      <w:color w:val="333333"/>
                      <w:sz w:val="20"/>
                      <w:szCs w:val="20"/>
                    </w:rPr>
                    <w:t>已结</w:t>
                  </w:r>
                </w:p>
              </w:tc>
            </w:tr>
          </w:tbl>
          <w:p w:rsidR="006F22F7" w:rsidRDefault="006F22F7" w:rsidP="00B03921">
            <w:pPr>
              <w:adjustRightInd/>
              <w:snapToGrid/>
              <w:spacing w:after="0" w:line="360" w:lineRule="auto"/>
              <w:rPr>
                <w:rFonts w:eastAsia="宋体" w:cs="Tahoma"/>
                <w:sz w:val="20"/>
                <w:szCs w:val="20"/>
              </w:rPr>
            </w:pPr>
          </w:p>
        </w:tc>
        <w:tc>
          <w:tcPr>
            <w:tcW w:w="971" w:type="dxa"/>
            <w:tcBorders>
              <w:top w:val="single" w:sz="12" w:space="0" w:color="FFFFFF"/>
              <w:bottom w:val="single" w:sz="12" w:space="0" w:color="FFFFFF"/>
              <w:right w:val="single" w:sz="12" w:space="0" w:color="FFFFFF"/>
            </w:tcBorders>
            <w:shd w:val="clear" w:color="auto" w:fill="A3C0E0"/>
            <w:vAlign w:val="center"/>
          </w:tcPr>
          <w:tbl>
            <w:tblPr>
              <w:tblW w:w="981" w:type="dxa"/>
              <w:tblCellSpacing w:w="0" w:type="dxa"/>
              <w:tblLayout w:type="fixed"/>
              <w:tblCellMar>
                <w:left w:w="0" w:type="dxa"/>
                <w:right w:w="0" w:type="dxa"/>
              </w:tblCellMar>
              <w:tblLook w:val="04A0"/>
            </w:tblPr>
            <w:tblGrid>
              <w:gridCol w:w="981"/>
            </w:tblGrid>
            <w:tr w:rsidR="006F22F7">
              <w:trPr>
                <w:trHeight w:val="617"/>
                <w:tblCellSpacing w:w="0" w:type="dxa"/>
              </w:trPr>
              <w:tc>
                <w:tcPr>
                  <w:tcW w:w="981" w:type="dxa"/>
                  <w:vAlign w:val="center"/>
                </w:tcPr>
                <w:p w:rsidR="006F22F7" w:rsidRDefault="00AE6944" w:rsidP="00B03921">
                  <w:pPr>
                    <w:adjustRightInd/>
                    <w:snapToGrid/>
                    <w:spacing w:after="0" w:line="360" w:lineRule="auto"/>
                    <w:jc w:val="center"/>
                    <w:rPr>
                      <w:rFonts w:ascii="宋体" w:eastAsia="宋体" w:hAnsi="宋体" w:cs="Tahoma"/>
                      <w:color w:val="333333"/>
                      <w:sz w:val="20"/>
                      <w:szCs w:val="20"/>
                    </w:rPr>
                  </w:pPr>
                  <w:r>
                    <w:rPr>
                      <w:rFonts w:ascii="宋体" w:eastAsia="宋体" w:hAnsi="宋体" w:cs="Tahoma" w:hint="eastAsia"/>
                      <w:color w:val="333333"/>
                      <w:sz w:val="20"/>
                      <w:szCs w:val="20"/>
                    </w:rPr>
                    <w:t>未结</w:t>
                  </w:r>
                </w:p>
              </w:tc>
            </w:tr>
          </w:tbl>
          <w:p w:rsidR="006F22F7" w:rsidRDefault="006F22F7" w:rsidP="00B03921">
            <w:pPr>
              <w:adjustRightInd/>
              <w:snapToGrid/>
              <w:spacing w:after="0" w:line="360" w:lineRule="auto"/>
              <w:rPr>
                <w:rFonts w:eastAsia="宋体" w:cs="Tahoma"/>
                <w:sz w:val="20"/>
                <w:szCs w:val="20"/>
              </w:rPr>
            </w:pPr>
          </w:p>
        </w:tc>
        <w:tc>
          <w:tcPr>
            <w:tcW w:w="1559" w:type="dxa"/>
            <w:tcBorders>
              <w:top w:val="single" w:sz="12" w:space="0" w:color="FFFFFF"/>
              <w:bottom w:val="single" w:sz="12" w:space="0" w:color="FFFFFF"/>
              <w:right w:val="single" w:sz="12" w:space="0" w:color="FFFFFF"/>
            </w:tcBorders>
            <w:shd w:val="clear" w:color="auto" w:fill="A3C0E0"/>
            <w:vAlign w:val="center"/>
          </w:tcPr>
          <w:tbl>
            <w:tblPr>
              <w:tblW w:w="3004" w:type="dxa"/>
              <w:tblCellSpacing w:w="0" w:type="dxa"/>
              <w:tblLayout w:type="fixed"/>
              <w:tblCellMar>
                <w:left w:w="0" w:type="dxa"/>
                <w:right w:w="0" w:type="dxa"/>
              </w:tblCellMar>
              <w:tblLook w:val="04A0"/>
            </w:tblPr>
            <w:tblGrid>
              <w:gridCol w:w="1502"/>
              <w:gridCol w:w="1502"/>
            </w:tblGrid>
            <w:tr w:rsidR="00822552" w:rsidTr="00822552">
              <w:trPr>
                <w:trHeight w:val="1152"/>
                <w:tblCellSpacing w:w="0" w:type="dxa"/>
              </w:trPr>
              <w:tc>
                <w:tcPr>
                  <w:tcW w:w="1502" w:type="dxa"/>
                  <w:vAlign w:val="center"/>
                </w:tcPr>
                <w:p w:rsidR="00822552" w:rsidRDefault="00822552" w:rsidP="00B03921">
                  <w:pPr>
                    <w:adjustRightInd/>
                    <w:snapToGrid/>
                    <w:spacing w:after="0" w:line="360" w:lineRule="auto"/>
                    <w:jc w:val="center"/>
                    <w:rPr>
                      <w:rFonts w:ascii="宋体" w:eastAsia="宋体" w:hAnsi="宋体" w:cs="Tahoma"/>
                      <w:color w:val="333333"/>
                      <w:sz w:val="20"/>
                      <w:szCs w:val="20"/>
                    </w:rPr>
                  </w:pPr>
                  <w:r>
                    <w:rPr>
                      <w:rFonts w:ascii="宋体" w:eastAsia="宋体" w:hAnsi="宋体" w:cs="Tahoma" w:hint="eastAsia"/>
                      <w:color w:val="333333"/>
                      <w:sz w:val="20"/>
                      <w:szCs w:val="20"/>
                    </w:rPr>
                    <w:t>结案率</w:t>
                  </w:r>
                </w:p>
              </w:tc>
              <w:tc>
                <w:tcPr>
                  <w:tcW w:w="1502" w:type="dxa"/>
                </w:tcPr>
                <w:p w:rsidR="00822552" w:rsidRDefault="00822552" w:rsidP="00B03921">
                  <w:pPr>
                    <w:adjustRightInd/>
                    <w:snapToGrid/>
                    <w:spacing w:after="0" w:line="360" w:lineRule="auto"/>
                    <w:jc w:val="center"/>
                    <w:rPr>
                      <w:rFonts w:ascii="宋体" w:eastAsia="宋体" w:hAnsi="宋体" w:cs="Tahoma"/>
                      <w:color w:val="333333"/>
                      <w:sz w:val="20"/>
                      <w:szCs w:val="20"/>
                    </w:rPr>
                  </w:pPr>
                </w:p>
              </w:tc>
            </w:tr>
          </w:tbl>
          <w:p w:rsidR="006F22F7" w:rsidRDefault="006F22F7" w:rsidP="00B03921">
            <w:pPr>
              <w:adjustRightInd/>
              <w:snapToGrid/>
              <w:spacing w:after="0" w:line="360" w:lineRule="auto"/>
              <w:rPr>
                <w:rFonts w:eastAsia="宋体" w:cs="Tahoma"/>
                <w:sz w:val="20"/>
                <w:szCs w:val="20"/>
              </w:rPr>
            </w:pPr>
          </w:p>
        </w:tc>
      </w:tr>
      <w:tr w:rsidR="006F22F7" w:rsidRPr="004C7648" w:rsidTr="00B97C70">
        <w:trPr>
          <w:trHeight w:val="820"/>
          <w:tblCellSpacing w:w="0" w:type="dxa"/>
          <w:jc w:val="center"/>
        </w:trPr>
        <w:tc>
          <w:tcPr>
            <w:tcW w:w="2149" w:type="dxa"/>
            <w:tcBorders>
              <w:bottom w:val="single" w:sz="12" w:space="0" w:color="FFFFFF"/>
              <w:right w:val="single" w:sz="12" w:space="0" w:color="FFFFFF"/>
            </w:tcBorders>
            <w:shd w:val="clear" w:color="auto" w:fill="E0EDF5"/>
            <w:vAlign w:val="center"/>
          </w:tcPr>
          <w:tbl>
            <w:tblPr>
              <w:tblW w:w="2444" w:type="dxa"/>
              <w:tblCellSpacing w:w="0" w:type="dxa"/>
              <w:tblLayout w:type="fixed"/>
              <w:tblCellMar>
                <w:left w:w="0" w:type="dxa"/>
                <w:right w:w="0" w:type="dxa"/>
              </w:tblCellMar>
              <w:tblLook w:val="04A0"/>
            </w:tblPr>
            <w:tblGrid>
              <w:gridCol w:w="2444"/>
            </w:tblGrid>
            <w:tr w:rsidR="006F22F7">
              <w:trPr>
                <w:trHeight w:val="578"/>
                <w:tblCellSpacing w:w="0" w:type="dxa"/>
              </w:trPr>
              <w:tc>
                <w:tcPr>
                  <w:tcW w:w="2444" w:type="dxa"/>
                  <w:vAlign w:val="center"/>
                </w:tcPr>
                <w:p w:rsidR="006F22F7" w:rsidRDefault="00AE6944" w:rsidP="00EB4770">
                  <w:pPr>
                    <w:adjustRightInd/>
                    <w:snapToGrid/>
                    <w:spacing w:after="0" w:line="360" w:lineRule="auto"/>
                    <w:ind w:firstLineChars="50" w:firstLine="100"/>
                    <w:rPr>
                      <w:rFonts w:ascii="宋体" w:eastAsia="宋体" w:hAnsi="宋体" w:cs="Tahoma"/>
                      <w:sz w:val="20"/>
                      <w:szCs w:val="20"/>
                    </w:rPr>
                  </w:pPr>
                  <w:r>
                    <w:rPr>
                      <w:rFonts w:ascii="宋体" w:eastAsia="宋体" w:hAnsi="宋体" w:cs="Tahoma" w:hint="eastAsia"/>
                      <w:sz w:val="20"/>
                      <w:szCs w:val="20"/>
                    </w:rPr>
                    <w:t>1月1日</w:t>
                  </w:r>
                  <w:r w:rsidR="001C3652">
                    <w:rPr>
                      <w:rFonts w:ascii="宋体" w:eastAsia="宋体" w:hAnsi="宋体" w:cs="Tahoma" w:hint="eastAsia"/>
                      <w:sz w:val="20"/>
                      <w:szCs w:val="20"/>
                    </w:rPr>
                    <w:t>-</w:t>
                  </w:r>
                  <w:r w:rsidR="00EB4770">
                    <w:rPr>
                      <w:rFonts w:ascii="宋体" w:eastAsia="宋体" w:hAnsi="宋体" w:cs="Tahoma" w:hint="eastAsia"/>
                      <w:sz w:val="20"/>
                      <w:szCs w:val="20"/>
                    </w:rPr>
                    <w:t>3</w:t>
                  </w:r>
                  <w:r>
                    <w:rPr>
                      <w:rFonts w:ascii="宋体" w:eastAsia="宋体" w:hAnsi="宋体" w:cs="Tahoma" w:hint="eastAsia"/>
                      <w:sz w:val="20"/>
                      <w:szCs w:val="20"/>
                    </w:rPr>
                    <w:t>月</w:t>
                  </w:r>
                  <w:r w:rsidR="00662776">
                    <w:rPr>
                      <w:rFonts w:ascii="宋体" w:eastAsia="宋体" w:hAnsi="宋体" w:cs="Tahoma" w:hint="eastAsia"/>
                      <w:sz w:val="20"/>
                      <w:szCs w:val="20"/>
                    </w:rPr>
                    <w:t>31</w:t>
                  </w:r>
                  <w:r>
                    <w:rPr>
                      <w:rFonts w:ascii="宋体" w:eastAsia="宋体" w:hAnsi="宋体" w:cs="Tahoma" w:hint="eastAsia"/>
                      <w:sz w:val="20"/>
                      <w:szCs w:val="20"/>
                    </w:rPr>
                    <w:t>日</w:t>
                  </w:r>
                </w:p>
              </w:tc>
            </w:tr>
          </w:tbl>
          <w:p w:rsidR="006F22F7" w:rsidRDefault="006F22F7" w:rsidP="00B03921">
            <w:pPr>
              <w:adjustRightInd/>
              <w:snapToGrid/>
              <w:spacing w:after="0" w:line="360" w:lineRule="auto"/>
              <w:rPr>
                <w:rFonts w:eastAsia="宋体" w:cs="Tahoma"/>
                <w:sz w:val="20"/>
                <w:szCs w:val="20"/>
              </w:rPr>
            </w:pPr>
          </w:p>
        </w:tc>
        <w:tc>
          <w:tcPr>
            <w:tcW w:w="1128" w:type="dxa"/>
            <w:tcBorders>
              <w:bottom w:val="single" w:sz="12" w:space="0" w:color="FFFFFF"/>
              <w:right w:val="single" w:sz="12" w:space="0" w:color="FFFFFF"/>
            </w:tcBorders>
            <w:shd w:val="clear" w:color="auto" w:fill="E0EDF5"/>
            <w:vAlign w:val="center"/>
          </w:tcPr>
          <w:tbl>
            <w:tblPr>
              <w:tblW w:w="751" w:type="dxa"/>
              <w:tblCellSpacing w:w="0" w:type="dxa"/>
              <w:tblLayout w:type="fixed"/>
              <w:tblCellMar>
                <w:left w:w="0" w:type="dxa"/>
                <w:right w:w="0" w:type="dxa"/>
              </w:tblCellMar>
              <w:tblLook w:val="04A0"/>
            </w:tblPr>
            <w:tblGrid>
              <w:gridCol w:w="751"/>
            </w:tblGrid>
            <w:tr w:rsidR="006F22F7" w:rsidRPr="00C52F20">
              <w:trPr>
                <w:trHeight w:val="578"/>
                <w:tblCellSpacing w:w="0" w:type="dxa"/>
              </w:trPr>
              <w:tc>
                <w:tcPr>
                  <w:tcW w:w="751" w:type="dxa"/>
                  <w:vAlign w:val="center"/>
                </w:tcPr>
                <w:p w:rsidR="006F22F7" w:rsidRPr="00C52F20" w:rsidRDefault="00EB4770" w:rsidP="00B03921">
                  <w:pPr>
                    <w:adjustRightInd/>
                    <w:snapToGrid/>
                    <w:spacing w:after="0" w:line="360" w:lineRule="auto"/>
                    <w:jc w:val="center"/>
                    <w:rPr>
                      <w:rFonts w:ascii="宋体" w:eastAsia="宋体" w:hAnsi="宋体" w:cs="Tahoma"/>
                      <w:sz w:val="20"/>
                      <w:szCs w:val="20"/>
                    </w:rPr>
                  </w:pPr>
                  <w:r>
                    <w:rPr>
                      <w:rFonts w:ascii="宋体" w:eastAsia="宋体" w:hAnsi="宋体" w:cs="Tahoma" w:hint="eastAsia"/>
                      <w:sz w:val="20"/>
                      <w:szCs w:val="20"/>
                    </w:rPr>
                    <w:t>0</w:t>
                  </w:r>
                </w:p>
              </w:tc>
            </w:tr>
          </w:tbl>
          <w:p w:rsidR="006F22F7" w:rsidRPr="00C52F20" w:rsidRDefault="006F22F7" w:rsidP="00B03921">
            <w:pPr>
              <w:adjustRightInd/>
              <w:snapToGrid/>
              <w:spacing w:after="0" w:line="360" w:lineRule="auto"/>
              <w:jc w:val="center"/>
              <w:rPr>
                <w:rFonts w:eastAsia="宋体" w:cs="Tahoma"/>
                <w:sz w:val="20"/>
                <w:szCs w:val="20"/>
              </w:rPr>
            </w:pPr>
          </w:p>
        </w:tc>
        <w:tc>
          <w:tcPr>
            <w:tcW w:w="792" w:type="dxa"/>
            <w:tcBorders>
              <w:bottom w:val="single" w:sz="12" w:space="0" w:color="FFFFFF"/>
              <w:right w:val="single" w:sz="12" w:space="0" w:color="FFFFFF"/>
            </w:tcBorders>
            <w:shd w:val="clear" w:color="auto" w:fill="E0EDF5"/>
            <w:vAlign w:val="center"/>
          </w:tcPr>
          <w:tbl>
            <w:tblPr>
              <w:tblW w:w="751" w:type="dxa"/>
              <w:tblCellSpacing w:w="0" w:type="dxa"/>
              <w:tblLayout w:type="fixed"/>
              <w:tblCellMar>
                <w:left w:w="0" w:type="dxa"/>
                <w:right w:w="0" w:type="dxa"/>
              </w:tblCellMar>
              <w:tblLook w:val="04A0"/>
            </w:tblPr>
            <w:tblGrid>
              <w:gridCol w:w="751"/>
            </w:tblGrid>
            <w:tr w:rsidR="006F22F7" w:rsidRPr="00C52F20">
              <w:trPr>
                <w:trHeight w:val="578"/>
                <w:tblCellSpacing w:w="0" w:type="dxa"/>
              </w:trPr>
              <w:tc>
                <w:tcPr>
                  <w:tcW w:w="751" w:type="dxa"/>
                  <w:vAlign w:val="center"/>
                </w:tcPr>
                <w:p w:rsidR="006F22F7" w:rsidRPr="00C52F20" w:rsidRDefault="00EB4770" w:rsidP="00662776">
                  <w:pPr>
                    <w:adjustRightInd/>
                    <w:snapToGrid/>
                    <w:spacing w:after="0" w:line="360" w:lineRule="auto"/>
                    <w:jc w:val="center"/>
                    <w:rPr>
                      <w:rFonts w:ascii="宋体" w:eastAsia="宋体" w:hAnsi="宋体" w:cs="Tahoma"/>
                      <w:sz w:val="20"/>
                      <w:szCs w:val="20"/>
                    </w:rPr>
                  </w:pPr>
                  <w:r>
                    <w:rPr>
                      <w:rFonts w:ascii="宋体" w:eastAsia="宋体" w:hAnsi="宋体" w:cs="Tahoma" w:hint="eastAsia"/>
                      <w:sz w:val="20"/>
                      <w:szCs w:val="20"/>
                    </w:rPr>
                    <w:t>15</w:t>
                  </w:r>
                </w:p>
              </w:tc>
            </w:tr>
          </w:tbl>
          <w:p w:rsidR="006F22F7" w:rsidRPr="00C52F20" w:rsidRDefault="006F22F7" w:rsidP="00B03921">
            <w:pPr>
              <w:adjustRightInd/>
              <w:snapToGrid/>
              <w:spacing w:after="0" w:line="360" w:lineRule="auto"/>
              <w:jc w:val="center"/>
              <w:rPr>
                <w:rFonts w:eastAsia="宋体" w:cs="Tahoma"/>
                <w:sz w:val="20"/>
                <w:szCs w:val="20"/>
              </w:rPr>
            </w:pPr>
          </w:p>
        </w:tc>
        <w:tc>
          <w:tcPr>
            <w:tcW w:w="1134" w:type="dxa"/>
            <w:tcBorders>
              <w:bottom w:val="single" w:sz="12" w:space="0" w:color="FFFFFF"/>
              <w:right w:val="single" w:sz="12" w:space="0" w:color="FFFFFF"/>
            </w:tcBorders>
            <w:shd w:val="clear" w:color="auto" w:fill="E0EDF5"/>
            <w:vAlign w:val="center"/>
          </w:tcPr>
          <w:tbl>
            <w:tblPr>
              <w:tblW w:w="1088" w:type="dxa"/>
              <w:tblCellSpacing w:w="0" w:type="dxa"/>
              <w:tblLayout w:type="fixed"/>
              <w:tblCellMar>
                <w:left w:w="0" w:type="dxa"/>
                <w:right w:w="0" w:type="dxa"/>
              </w:tblCellMar>
              <w:tblLook w:val="04A0"/>
            </w:tblPr>
            <w:tblGrid>
              <w:gridCol w:w="1088"/>
            </w:tblGrid>
            <w:tr w:rsidR="006F22F7" w:rsidRPr="00C52F20">
              <w:trPr>
                <w:trHeight w:val="578"/>
                <w:tblCellSpacing w:w="0" w:type="dxa"/>
              </w:trPr>
              <w:tc>
                <w:tcPr>
                  <w:tcW w:w="1088" w:type="dxa"/>
                  <w:vAlign w:val="center"/>
                </w:tcPr>
                <w:p w:rsidR="006F22F7" w:rsidRPr="00C52F20" w:rsidRDefault="00EB4770" w:rsidP="00B03921">
                  <w:pPr>
                    <w:adjustRightInd/>
                    <w:snapToGrid/>
                    <w:spacing w:after="0" w:line="360" w:lineRule="auto"/>
                    <w:jc w:val="center"/>
                    <w:rPr>
                      <w:rFonts w:ascii="宋体" w:eastAsia="宋体" w:hAnsi="宋体" w:cs="Tahoma"/>
                      <w:sz w:val="20"/>
                      <w:szCs w:val="20"/>
                    </w:rPr>
                  </w:pPr>
                  <w:r>
                    <w:rPr>
                      <w:rFonts w:ascii="宋体" w:eastAsia="宋体" w:hAnsi="宋体" w:cs="Tahoma" w:hint="eastAsia"/>
                      <w:sz w:val="20"/>
                      <w:szCs w:val="20"/>
                    </w:rPr>
                    <w:t>15</w:t>
                  </w:r>
                </w:p>
              </w:tc>
            </w:tr>
          </w:tbl>
          <w:p w:rsidR="006F22F7" w:rsidRPr="00C52F20" w:rsidRDefault="006F22F7" w:rsidP="00B03921">
            <w:pPr>
              <w:adjustRightInd/>
              <w:snapToGrid/>
              <w:spacing w:after="0" w:line="360" w:lineRule="auto"/>
              <w:jc w:val="center"/>
              <w:rPr>
                <w:rFonts w:eastAsia="宋体" w:cs="Tahoma"/>
                <w:sz w:val="20"/>
                <w:szCs w:val="20"/>
              </w:rPr>
            </w:pPr>
          </w:p>
        </w:tc>
        <w:tc>
          <w:tcPr>
            <w:tcW w:w="936" w:type="dxa"/>
            <w:tcBorders>
              <w:bottom w:val="single" w:sz="12" w:space="0" w:color="FFFFFF"/>
              <w:right w:val="single" w:sz="12" w:space="0" w:color="FFFFFF"/>
            </w:tcBorders>
            <w:shd w:val="clear" w:color="auto" w:fill="E0EDF5"/>
            <w:vAlign w:val="center"/>
          </w:tcPr>
          <w:tbl>
            <w:tblPr>
              <w:tblW w:w="893" w:type="dxa"/>
              <w:tblCellSpacing w:w="0" w:type="dxa"/>
              <w:tblLayout w:type="fixed"/>
              <w:tblCellMar>
                <w:left w:w="0" w:type="dxa"/>
                <w:right w:w="0" w:type="dxa"/>
              </w:tblCellMar>
              <w:tblLook w:val="04A0"/>
            </w:tblPr>
            <w:tblGrid>
              <w:gridCol w:w="893"/>
            </w:tblGrid>
            <w:tr w:rsidR="006F22F7" w:rsidRPr="00C52F20">
              <w:trPr>
                <w:trHeight w:val="578"/>
                <w:tblCellSpacing w:w="0" w:type="dxa"/>
              </w:trPr>
              <w:tc>
                <w:tcPr>
                  <w:tcW w:w="893" w:type="dxa"/>
                  <w:vAlign w:val="center"/>
                </w:tcPr>
                <w:p w:rsidR="006F22F7" w:rsidRPr="00C52F20" w:rsidRDefault="00EB4770" w:rsidP="00B03921">
                  <w:pPr>
                    <w:adjustRightInd/>
                    <w:snapToGrid/>
                    <w:spacing w:after="0" w:line="360" w:lineRule="auto"/>
                    <w:jc w:val="center"/>
                    <w:rPr>
                      <w:rFonts w:ascii="宋体" w:eastAsia="宋体" w:hAnsi="宋体" w:cs="Tahoma"/>
                      <w:sz w:val="20"/>
                      <w:szCs w:val="20"/>
                    </w:rPr>
                  </w:pPr>
                  <w:r>
                    <w:rPr>
                      <w:rFonts w:ascii="宋体" w:eastAsia="宋体" w:hAnsi="宋体" w:cs="Tahoma" w:hint="eastAsia"/>
                      <w:sz w:val="20"/>
                      <w:szCs w:val="20"/>
                    </w:rPr>
                    <w:t>14</w:t>
                  </w:r>
                </w:p>
              </w:tc>
            </w:tr>
          </w:tbl>
          <w:p w:rsidR="006F22F7" w:rsidRPr="00C52F20" w:rsidRDefault="006F22F7" w:rsidP="00B03921">
            <w:pPr>
              <w:adjustRightInd/>
              <w:snapToGrid/>
              <w:spacing w:after="0" w:line="360" w:lineRule="auto"/>
              <w:jc w:val="center"/>
              <w:rPr>
                <w:rFonts w:eastAsia="宋体" w:cs="Tahoma"/>
                <w:sz w:val="20"/>
                <w:szCs w:val="20"/>
              </w:rPr>
            </w:pPr>
          </w:p>
        </w:tc>
        <w:tc>
          <w:tcPr>
            <w:tcW w:w="971" w:type="dxa"/>
            <w:tcBorders>
              <w:bottom w:val="single" w:sz="12" w:space="0" w:color="FFFFFF"/>
              <w:right w:val="single" w:sz="12" w:space="0" w:color="FFFFFF"/>
            </w:tcBorders>
            <w:shd w:val="clear" w:color="auto" w:fill="E0EDF5"/>
            <w:vAlign w:val="center"/>
          </w:tcPr>
          <w:tbl>
            <w:tblPr>
              <w:tblW w:w="1221" w:type="dxa"/>
              <w:tblCellSpacing w:w="0" w:type="dxa"/>
              <w:tblLayout w:type="fixed"/>
              <w:tblCellMar>
                <w:left w:w="0" w:type="dxa"/>
                <w:right w:w="0" w:type="dxa"/>
              </w:tblCellMar>
              <w:tblLook w:val="04A0"/>
            </w:tblPr>
            <w:tblGrid>
              <w:gridCol w:w="1221"/>
            </w:tblGrid>
            <w:tr w:rsidR="006F22F7" w:rsidRPr="00C52F20">
              <w:trPr>
                <w:trHeight w:val="578"/>
                <w:tblCellSpacing w:w="0" w:type="dxa"/>
              </w:trPr>
              <w:tc>
                <w:tcPr>
                  <w:tcW w:w="1221" w:type="dxa"/>
                  <w:vAlign w:val="center"/>
                </w:tcPr>
                <w:p w:rsidR="006F22F7" w:rsidRPr="00C52F20" w:rsidRDefault="00EB4770" w:rsidP="00B03921">
                  <w:pPr>
                    <w:adjustRightInd/>
                    <w:snapToGrid/>
                    <w:spacing w:after="0" w:line="360" w:lineRule="auto"/>
                    <w:jc w:val="center"/>
                    <w:rPr>
                      <w:rFonts w:ascii="宋体" w:eastAsia="宋体" w:hAnsi="宋体" w:cs="Tahoma"/>
                      <w:sz w:val="20"/>
                      <w:szCs w:val="20"/>
                    </w:rPr>
                  </w:pPr>
                  <w:r>
                    <w:rPr>
                      <w:rFonts w:ascii="宋体" w:eastAsia="宋体" w:hAnsi="宋体" w:cs="Tahoma" w:hint="eastAsia"/>
                      <w:sz w:val="20"/>
                      <w:szCs w:val="20"/>
                    </w:rPr>
                    <w:t>1</w:t>
                  </w:r>
                </w:p>
              </w:tc>
            </w:tr>
          </w:tbl>
          <w:p w:rsidR="006F22F7" w:rsidRPr="00C52F20" w:rsidRDefault="006F22F7" w:rsidP="00B03921">
            <w:pPr>
              <w:adjustRightInd/>
              <w:snapToGrid/>
              <w:spacing w:after="0" w:line="360" w:lineRule="auto"/>
              <w:jc w:val="center"/>
              <w:rPr>
                <w:rFonts w:eastAsia="宋体" w:cs="Tahoma"/>
                <w:sz w:val="20"/>
                <w:szCs w:val="20"/>
              </w:rPr>
            </w:pPr>
          </w:p>
        </w:tc>
        <w:tc>
          <w:tcPr>
            <w:tcW w:w="1559" w:type="dxa"/>
            <w:tcBorders>
              <w:bottom w:val="single" w:sz="12" w:space="0" w:color="FFFFFF"/>
              <w:right w:val="single" w:sz="12" w:space="0" w:color="FFFFFF"/>
            </w:tcBorders>
            <w:shd w:val="clear" w:color="auto" w:fill="E0EDF5"/>
            <w:vAlign w:val="center"/>
          </w:tcPr>
          <w:tbl>
            <w:tblPr>
              <w:tblW w:w="1314" w:type="dxa"/>
              <w:tblCellSpacing w:w="0" w:type="dxa"/>
              <w:tblLayout w:type="fixed"/>
              <w:tblCellMar>
                <w:left w:w="0" w:type="dxa"/>
                <w:right w:w="0" w:type="dxa"/>
              </w:tblCellMar>
              <w:tblLook w:val="04A0"/>
            </w:tblPr>
            <w:tblGrid>
              <w:gridCol w:w="1314"/>
            </w:tblGrid>
            <w:tr w:rsidR="006F22F7" w:rsidRPr="00C52F20">
              <w:trPr>
                <w:trHeight w:val="1115"/>
                <w:tblCellSpacing w:w="0" w:type="dxa"/>
              </w:trPr>
              <w:tc>
                <w:tcPr>
                  <w:tcW w:w="1314" w:type="dxa"/>
                  <w:vAlign w:val="center"/>
                </w:tcPr>
                <w:p w:rsidR="006F22F7" w:rsidRPr="00C52F20" w:rsidRDefault="00EB4770" w:rsidP="00B03921">
                  <w:pPr>
                    <w:adjustRightInd/>
                    <w:snapToGrid/>
                    <w:spacing w:after="0" w:line="360" w:lineRule="auto"/>
                    <w:ind w:firstLineChars="300" w:firstLine="600"/>
                    <w:rPr>
                      <w:rFonts w:ascii="宋体" w:eastAsia="宋体" w:hAnsi="宋体" w:cs="Tahoma"/>
                      <w:sz w:val="20"/>
                      <w:szCs w:val="20"/>
                    </w:rPr>
                  </w:pPr>
                  <w:r>
                    <w:rPr>
                      <w:rFonts w:ascii="宋体" w:eastAsia="宋体" w:hAnsi="宋体" w:cs="Tahoma" w:hint="eastAsia"/>
                      <w:sz w:val="20"/>
                      <w:szCs w:val="20"/>
                    </w:rPr>
                    <w:t>93.33</w:t>
                  </w:r>
                  <w:r w:rsidR="00AE6944" w:rsidRPr="00C52F20">
                    <w:rPr>
                      <w:rFonts w:ascii="宋体" w:eastAsia="宋体" w:hAnsi="宋体" w:cs="Tahoma" w:hint="eastAsia"/>
                      <w:sz w:val="20"/>
                      <w:szCs w:val="20"/>
                    </w:rPr>
                    <w:t>%</w:t>
                  </w:r>
                </w:p>
              </w:tc>
            </w:tr>
          </w:tbl>
          <w:p w:rsidR="006F22F7" w:rsidRPr="004C7648" w:rsidRDefault="006F22F7" w:rsidP="00B03921">
            <w:pPr>
              <w:adjustRightInd/>
              <w:snapToGrid/>
              <w:spacing w:after="0" w:line="360" w:lineRule="auto"/>
              <w:jc w:val="center"/>
              <w:rPr>
                <w:rFonts w:eastAsia="宋体" w:cs="Tahoma"/>
                <w:color w:val="FF0000"/>
                <w:sz w:val="20"/>
                <w:szCs w:val="20"/>
              </w:rPr>
            </w:pPr>
          </w:p>
        </w:tc>
      </w:tr>
    </w:tbl>
    <w:p w:rsidR="006F22F7" w:rsidRDefault="006F22F7" w:rsidP="00B03921">
      <w:pPr>
        <w:tabs>
          <w:tab w:val="left" w:pos="3617"/>
        </w:tabs>
        <w:spacing w:after="0" w:line="360" w:lineRule="auto"/>
        <w:jc w:val="both"/>
        <w:rPr>
          <w:rFonts w:asciiTheme="minorEastAsia" w:eastAsiaTheme="minorEastAsia" w:hAnsiTheme="minorEastAsia"/>
          <w:sz w:val="32"/>
          <w:szCs w:val="32"/>
        </w:rPr>
      </w:pPr>
    </w:p>
    <w:p w:rsidR="00E147D2" w:rsidRPr="00BF24C6" w:rsidRDefault="004D0060" w:rsidP="00BF24C6">
      <w:pPr>
        <w:tabs>
          <w:tab w:val="left" w:pos="3617"/>
        </w:tabs>
        <w:spacing w:after="0" w:line="360" w:lineRule="auto"/>
        <w:ind w:firstLineChars="200" w:firstLine="640"/>
        <w:jc w:val="both"/>
        <w:rPr>
          <w:rFonts w:ascii="仿宋" w:eastAsia="仿宋" w:hAnsi="仿宋"/>
          <w:color w:val="000000" w:themeColor="text1"/>
          <w:sz w:val="32"/>
          <w:szCs w:val="32"/>
        </w:rPr>
      </w:pPr>
      <w:r>
        <w:rPr>
          <w:rFonts w:ascii="仿宋" w:eastAsia="仿宋" w:hAnsi="仿宋" w:hint="eastAsia"/>
          <w:sz w:val="32"/>
          <w:szCs w:val="32"/>
        </w:rPr>
        <w:t>1—</w:t>
      </w:r>
      <w:r w:rsidR="00EB4770">
        <w:rPr>
          <w:rFonts w:ascii="仿宋" w:eastAsia="仿宋" w:hAnsi="仿宋" w:hint="eastAsia"/>
          <w:sz w:val="32"/>
          <w:szCs w:val="32"/>
        </w:rPr>
        <w:t>3</w:t>
      </w:r>
      <w:r>
        <w:rPr>
          <w:rFonts w:ascii="仿宋" w:eastAsia="仿宋" w:hAnsi="仿宋" w:hint="eastAsia"/>
          <w:sz w:val="32"/>
          <w:szCs w:val="32"/>
        </w:rPr>
        <w:t>月</w:t>
      </w:r>
      <w:r w:rsidR="00856F67" w:rsidRPr="002E60CA">
        <w:rPr>
          <w:rFonts w:ascii="仿宋" w:eastAsia="仿宋" w:hAnsi="仿宋" w:hint="eastAsia"/>
          <w:sz w:val="32"/>
          <w:szCs w:val="32"/>
        </w:rPr>
        <w:t>共</w:t>
      </w:r>
      <w:r w:rsidR="00AE6944" w:rsidRPr="002E60CA">
        <w:rPr>
          <w:rFonts w:ascii="仿宋" w:eastAsia="仿宋" w:hAnsi="仿宋" w:hint="eastAsia"/>
          <w:sz w:val="32"/>
          <w:szCs w:val="32"/>
        </w:rPr>
        <w:t>受理诉讼案件</w:t>
      </w:r>
      <w:r w:rsidR="00EB4770">
        <w:rPr>
          <w:rFonts w:ascii="仿宋" w:eastAsia="仿宋" w:hAnsi="仿宋" w:hint="eastAsia"/>
          <w:sz w:val="32"/>
          <w:szCs w:val="32"/>
        </w:rPr>
        <w:t>15</w:t>
      </w:r>
      <w:r w:rsidR="00AE6944" w:rsidRPr="002E60CA">
        <w:rPr>
          <w:rFonts w:ascii="仿宋" w:eastAsia="仿宋" w:hAnsi="仿宋" w:hint="eastAsia"/>
          <w:sz w:val="32"/>
          <w:szCs w:val="32"/>
        </w:rPr>
        <w:t>件，其中，</w:t>
      </w:r>
      <w:r w:rsidR="00AE6944" w:rsidRPr="002E60CA">
        <w:rPr>
          <w:rFonts w:ascii="仿宋" w:eastAsia="仿宋" w:hAnsi="仿宋" w:hint="eastAsia"/>
          <w:color w:val="000000" w:themeColor="text1"/>
          <w:sz w:val="32"/>
          <w:szCs w:val="32"/>
        </w:rPr>
        <w:t>刑事</w:t>
      </w:r>
      <w:r w:rsidR="00EB4770">
        <w:rPr>
          <w:rFonts w:ascii="仿宋" w:eastAsia="仿宋" w:hAnsi="仿宋" w:hint="eastAsia"/>
          <w:sz w:val="32"/>
          <w:szCs w:val="32"/>
        </w:rPr>
        <w:t>9</w:t>
      </w:r>
      <w:r w:rsidR="00AE6944" w:rsidRPr="002E60CA">
        <w:rPr>
          <w:rFonts w:ascii="仿宋" w:eastAsia="仿宋" w:hAnsi="仿宋" w:hint="eastAsia"/>
          <w:color w:val="000000" w:themeColor="text1"/>
          <w:sz w:val="32"/>
          <w:szCs w:val="32"/>
        </w:rPr>
        <w:t>件，占比</w:t>
      </w:r>
      <w:r w:rsidR="00BF24C6">
        <w:rPr>
          <w:rFonts w:ascii="仿宋" w:eastAsia="仿宋" w:hAnsi="仿宋" w:hint="eastAsia"/>
          <w:sz w:val="32"/>
          <w:szCs w:val="32"/>
        </w:rPr>
        <w:t>60.00</w:t>
      </w:r>
      <w:r w:rsidR="00AE6944" w:rsidRPr="002E60CA">
        <w:rPr>
          <w:rFonts w:ascii="仿宋" w:eastAsia="仿宋" w:hAnsi="仿宋" w:hint="eastAsia"/>
          <w:color w:val="000000" w:themeColor="text1"/>
          <w:sz w:val="32"/>
          <w:szCs w:val="32"/>
        </w:rPr>
        <w:t>% ；民事</w:t>
      </w:r>
      <w:r w:rsidR="00BF24C6">
        <w:rPr>
          <w:rFonts w:ascii="仿宋" w:eastAsia="仿宋" w:hAnsi="仿宋" w:hint="eastAsia"/>
          <w:sz w:val="32"/>
          <w:szCs w:val="32"/>
        </w:rPr>
        <w:t>6</w:t>
      </w:r>
      <w:r w:rsidR="00AE6944" w:rsidRPr="002E60CA">
        <w:rPr>
          <w:rFonts w:ascii="仿宋" w:eastAsia="仿宋" w:hAnsi="仿宋" w:hint="eastAsia"/>
          <w:color w:val="000000" w:themeColor="text1"/>
          <w:sz w:val="32"/>
          <w:szCs w:val="32"/>
        </w:rPr>
        <w:t>件，</w:t>
      </w:r>
      <w:r w:rsidR="00F04402">
        <w:rPr>
          <w:rFonts w:ascii="仿宋" w:eastAsia="仿宋" w:hAnsi="仿宋" w:hint="eastAsia"/>
          <w:color w:val="000000" w:themeColor="text1"/>
          <w:sz w:val="32"/>
          <w:szCs w:val="32"/>
        </w:rPr>
        <w:t>占比</w:t>
      </w:r>
      <w:r w:rsidR="00BF24C6">
        <w:rPr>
          <w:rFonts w:ascii="仿宋" w:eastAsia="仿宋" w:hAnsi="仿宋" w:hint="eastAsia"/>
          <w:color w:val="000000" w:themeColor="text1"/>
          <w:sz w:val="32"/>
          <w:szCs w:val="32"/>
        </w:rPr>
        <w:t>40.00</w:t>
      </w:r>
      <w:r w:rsidR="00F04402">
        <w:rPr>
          <w:rFonts w:ascii="仿宋" w:eastAsia="仿宋" w:hAnsi="仿宋" w:hint="eastAsia"/>
          <w:color w:val="000000" w:themeColor="text1"/>
          <w:sz w:val="32"/>
          <w:szCs w:val="32"/>
        </w:rPr>
        <w:t>%</w:t>
      </w:r>
      <w:r w:rsidR="00845E04">
        <w:rPr>
          <w:rFonts w:ascii="仿宋" w:eastAsia="仿宋" w:hAnsi="仿宋" w:hint="eastAsia"/>
          <w:color w:val="000000" w:themeColor="text1"/>
          <w:sz w:val="32"/>
          <w:szCs w:val="32"/>
        </w:rPr>
        <w:t>。</w:t>
      </w:r>
    </w:p>
    <w:p w:rsidR="006F22F7" w:rsidRPr="00CA0E80" w:rsidRDefault="00AE6944" w:rsidP="0045554F">
      <w:pPr>
        <w:tabs>
          <w:tab w:val="left" w:pos="3617"/>
        </w:tabs>
        <w:spacing w:after="0" w:line="360" w:lineRule="auto"/>
        <w:ind w:firstLineChars="200" w:firstLine="643"/>
        <w:jc w:val="both"/>
        <w:rPr>
          <w:rFonts w:asciiTheme="majorEastAsia" w:eastAsiaTheme="majorEastAsia" w:hAnsiTheme="majorEastAsia"/>
          <w:b/>
          <w:sz w:val="32"/>
          <w:szCs w:val="32"/>
        </w:rPr>
      </w:pPr>
      <w:r w:rsidRPr="0045554F">
        <w:rPr>
          <w:rFonts w:asciiTheme="majorEastAsia" w:eastAsiaTheme="majorEastAsia" w:hAnsiTheme="majorEastAsia" w:hint="eastAsia"/>
          <w:b/>
          <w:sz w:val="32"/>
          <w:szCs w:val="32"/>
        </w:rPr>
        <w:t>（</w:t>
      </w:r>
      <w:r w:rsidR="0045554F" w:rsidRPr="00CA0E80">
        <w:rPr>
          <w:rFonts w:asciiTheme="majorEastAsia" w:eastAsiaTheme="majorEastAsia" w:hAnsiTheme="majorEastAsia" w:hint="eastAsia"/>
          <w:b/>
          <w:sz w:val="32"/>
          <w:szCs w:val="32"/>
        </w:rPr>
        <w:t>三</w:t>
      </w:r>
      <w:r w:rsidRPr="00CA0E80">
        <w:rPr>
          <w:rFonts w:asciiTheme="majorEastAsia" w:eastAsiaTheme="majorEastAsia" w:hAnsiTheme="majorEastAsia" w:hint="eastAsia"/>
          <w:b/>
          <w:sz w:val="32"/>
          <w:szCs w:val="32"/>
        </w:rPr>
        <w:t>）</w:t>
      </w:r>
      <w:r w:rsidR="00B168B4">
        <w:rPr>
          <w:rFonts w:asciiTheme="majorEastAsia" w:eastAsiaTheme="majorEastAsia" w:hAnsiTheme="majorEastAsia" w:hint="eastAsia"/>
          <w:b/>
          <w:sz w:val="32"/>
          <w:szCs w:val="32"/>
        </w:rPr>
        <w:t>2021年第一季度</w:t>
      </w:r>
      <w:r w:rsidRPr="00CA0E80">
        <w:rPr>
          <w:rFonts w:asciiTheme="majorEastAsia" w:eastAsiaTheme="majorEastAsia" w:hAnsiTheme="majorEastAsia" w:hint="eastAsia"/>
          <w:b/>
          <w:sz w:val="32"/>
          <w:szCs w:val="32"/>
        </w:rPr>
        <w:t>执行案件总体情况</w:t>
      </w:r>
    </w:p>
    <w:p w:rsidR="00607152" w:rsidRPr="002C67D5" w:rsidRDefault="00B168B4" w:rsidP="00607152">
      <w:pPr>
        <w:spacing w:after="0" w:line="360" w:lineRule="auto"/>
        <w:ind w:firstLineChars="200" w:firstLine="640"/>
        <w:jc w:val="both"/>
        <w:rPr>
          <w:rFonts w:ascii="仿宋" w:eastAsia="仿宋" w:hAnsi="仿宋"/>
          <w:sz w:val="32"/>
          <w:szCs w:val="32"/>
        </w:rPr>
      </w:pPr>
      <w:r w:rsidRPr="002C67D5">
        <w:rPr>
          <w:rFonts w:ascii="仿宋" w:eastAsia="仿宋" w:hAnsi="仿宋" w:hint="eastAsia"/>
          <w:sz w:val="32"/>
          <w:szCs w:val="32"/>
        </w:rPr>
        <w:t>2021年第一季度</w:t>
      </w:r>
      <w:r w:rsidR="00607152" w:rsidRPr="002C67D5">
        <w:rPr>
          <w:rFonts w:ascii="仿宋" w:eastAsia="仿宋" w:hAnsi="仿宋" w:hint="eastAsia"/>
          <w:sz w:val="32"/>
          <w:szCs w:val="32"/>
        </w:rPr>
        <w:t>共收案</w:t>
      </w:r>
      <w:r w:rsidR="002C67D5">
        <w:rPr>
          <w:rFonts w:ascii="仿宋" w:eastAsia="仿宋" w:hAnsi="仿宋" w:hint="eastAsia"/>
          <w:sz w:val="32"/>
          <w:szCs w:val="32"/>
        </w:rPr>
        <w:t>26</w:t>
      </w:r>
      <w:r w:rsidR="00607152" w:rsidRPr="002C67D5">
        <w:rPr>
          <w:rFonts w:ascii="仿宋" w:eastAsia="仿宋" w:hAnsi="仿宋" w:hint="eastAsia"/>
          <w:sz w:val="32"/>
          <w:szCs w:val="32"/>
        </w:rPr>
        <w:t>件，旧存</w:t>
      </w:r>
      <w:r w:rsidR="002C67D5">
        <w:rPr>
          <w:rFonts w:ascii="仿宋" w:eastAsia="仿宋" w:hAnsi="仿宋" w:hint="eastAsia"/>
          <w:sz w:val="32"/>
          <w:szCs w:val="32"/>
        </w:rPr>
        <w:t>0</w:t>
      </w:r>
      <w:r w:rsidR="00607152" w:rsidRPr="002C67D5">
        <w:rPr>
          <w:rFonts w:ascii="仿宋" w:eastAsia="仿宋" w:hAnsi="仿宋" w:hint="eastAsia"/>
          <w:sz w:val="32"/>
          <w:szCs w:val="32"/>
        </w:rPr>
        <w:t>件，结案</w:t>
      </w:r>
      <w:r w:rsidR="002C67D5">
        <w:rPr>
          <w:rFonts w:ascii="仿宋" w:eastAsia="仿宋" w:hAnsi="仿宋" w:hint="eastAsia"/>
          <w:sz w:val="32"/>
          <w:szCs w:val="32"/>
        </w:rPr>
        <w:t>26</w:t>
      </w:r>
      <w:r w:rsidR="00607152" w:rsidRPr="002C67D5">
        <w:rPr>
          <w:rFonts w:ascii="仿宋" w:eastAsia="仿宋" w:hAnsi="仿宋" w:hint="eastAsia"/>
          <w:sz w:val="32"/>
          <w:szCs w:val="32"/>
        </w:rPr>
        <w:t>件，</w:t>
      </w:r>
      <w:proofErr w:type="gramStart"/>
      <w:r w:rsidR="00607152" w:rsidRPr="002C67D5">
        <w:rPr>
          <w:rFonts w:ascii="仿宋" w:eastAsia="仿宋" w:hAnsi="仿宋" w:hint="eastAsia"/>
          <w:sz w:val="32"/>
          <w:szCs w:val="32"/>
        </w:rPr>
        <w:t>其中首执案件</w:t>
      </w:r>
      <w:proofErr w:type="gramEnd"/>
      <w:r w:rsidR="002C67D5">
        <w:rPr>
          <w:rFonts w:ascii="仿宋" w:eastAsia="仿宋" w:hAnsi="仿宋" w:hint="eastAsia"/>
          <w:sz w:val="32"/>
          <w:szCs w:val="32"/>
        </w:rPr>
        <w:t>14</w:t>
      </w:r>
      <w:r w:rsidR="00607152" w:rsidRPr="002C67D5">
        <w:rPr>
          <w:rFonts w:ascii="仿宋" w:eastAsia="仿宋" w:hAnsi="仿宋" w:hint="eastAsia"/>
          <w:sz w:val="32"/>
          <w:szCs w:val="32"/>
        </w:rPr>
        <w:t>件、</w:t>
      </w:r>
      <w:proofErr w:type="gramStart"/>
      <w:r w:rsidR="00607152" w:rsidRPr="002C67D5">
        <w:rPr>
          <w:rFonts w:ascii="仿宋" w:eastAsia="仿宋" w:hAnsi="仿宋" w:hint="eastAsia"/>
          <w:sz w:val="32"/>
          <w:szCs w:val="32"/>
        </w:rPr>
        <w:t>执保案件</w:t>
      </w:r>
      <w:proofErr w:type="gramEnd"/>
      <w:r w:rsidR="002C67D5">
        <w:rPr>
          <w:rFonts w:ascii="仿宋" w:eastAsia="仿宋" w:hAnsi="仿宋" w:hint="eastAsia"/>
          <w:sz w:val="32"/>
          <w:szCs w:val="32"/>
        </w:rPr>
        <w:t>2</w:t>
      </w:r>
      <w:r w:rsidR="00607152" w:rsidRPr="002C67D5">
        <w:rPr>
          <w:rFonts w:ascii="仿宋" w:eastAsia="仿宋" w:hAnsi="仿宋" w:hint="eastAsia"/>
          <w:sz w:val="32"/>
          <w:szCs w:val="32"/>
        </w:rPr>
        <w:t>件、执</w:t>
      </w:r>
      <w:proofErr w:type="gramStart"/>
      <w:r w:rsidR="00607152" w:rsidRPr="002C67D5">
        <w:rPr>
          <w:rFonts w:ascii="仿宋" w:eastAsia="仿宋" w:hAnsi="仿宋" w:hint="eastAsia"/>
          <w:sz w:val="32"/>
          <w:szCs w:val="32"/>
        </w:rPr>
        <w:t>恢</w:t>
      </w:r>
      <w:proofErr w:type="gramEnd"/>
      <w:r w:rsidR="00607152" w:rsidRPr="002C67D5">
        <w:rPr>
          <w:rFonts w:ascii="仿宋" w:eastAsia="仿宋" w:hAnsi="仿宋" w:hint="eastAsia"/>
          <w:sz w:val="32"/>
          <w:szCs w:val="32"/>
        </w:rPr>
        <w:t>案件1</w:t>
      </w:r>
      <w:r w:rsidR="002C67D5">
        <w:rPr>
          <w:rFonts w:ascii="仿宋" w:eastAsia="仿宋" w:hAnsi="仿宋" w:hint="eastAsia"/>
          <w:sz w:val="32"/>
          <w:szCs w:val="32"/>
        </w:rPr>
        <w:t>0</w:t>
      </w:r>
      <w:r w:rsidR="00607152" w:rsidRPr="002C67D5">
        <w:rPr>
          <w:rFonts w:ascii="仿宋" w:eastAsia="仿宋" w:hAnsi="仿宋" w:hint="eastAsia"/>
          <w:sz w:val="32"/>
          <w:szCs w:val="32"/>
        </w:rPr>
        <w:t>件;结案率100.00％，实际执行到位率</w:t>
      </w:r>
      <w:r w:rsidR="002C67D5">
        <w:rPr>
          <w:rFonts w:ascii="仿宋" w:eastAsia="仿宋" w:hAnsi="仿宋" w:hint="eastAsia"/>
          <w:sz w:val="32"/>
          <w:szCs w:val="32"/>
        </w:rPr>
        <w:t>9.11</w:t>
      </w:r>
      <w:r w:rsidR="00607152" w:rsidRPr="002C67D5">
        <w:rPr>
          <w:rFonts w:ascii="仿宋" w:eastAsia="仿宋" w:hAnsi="仿宋" w:hint="eastAsia"/>
          <w:sz w:val="32"/>
          <w:szCs w:val="32"/>
        </w:rPr>
        <w:t>％，执行完毕率</w:t>
      </w:r>
      <w:r w:rsidR="002C67D5">
        <w:rPr>
          <w:rFonts w:ascii="仿宋" w:eastAsia="仿宋" w:hAnsi="仿宋" w:hint="eastAsia"/>
          <w:sz w:val="32"/>
          <w:szCs w:val="32"/>
        </w:rPr>
        <w:t>50.00</w:t>
      </w:r>
      <w:r w:rsidR="00607152" w:rsidRPr="002C67D5">
        <w:rPr>
          <w:rFonts w:ascii="仿宋" w:eastAsia="仿宋" w:hAnsi="仿宋" w:hint="eastAsia"/>
          <w:sz w:val="32"/>
          <w:szCs w:val="32"/>
        </w:rPr>
        <w:t>％，</w:t>
      </w:r>
      <w:r w:rsidR="002C67D5">
        <w:rPr>
          <w:rFonts w:ascii="仿宋" w:eastAsia="仿宋" w:hAnsi="仿宋" w:hint="eastAsia"/>
          <w:sz w:val="32"/>
          <w:szCs w:val="32"/>
        </w:rPr>
        <w:t>终结率50.00%，</w:t>
      </w:r>
      <w:r w:rsidR="00607152" w:rsidRPr="002C67D5">
        <w:rPr>
          <w:rFonts w:ascii="仿宋" w:eastAsia="仿宋" w:hAnsi="仿宋" w:hint="eastAsia"/>
          <w:sz w:val="32"/>
          <w:szCs w:val="32"/>
        </w:rPr>
        <w:t>法定期限内结案率100％，结案平均用时1</w:t>
      </w:r>
      <w:r w:rsidR="002C67D5">
        <w:rPr>
          <w:rFonts w:ascii="仿宋" w:eastAsia="仿宋" w:hAnsi="仿宋" w:hint="eastAsia"/>
          <w:sz w:val="32"/>
          <w:szCs w:val="32"/>
        </w:rPr>
        <w:t>1.71</w:t>
      </w:r>
      <w:r w:rsidR="00607152" w:rsidRPr="002C67D5">
        <w:rPr>
          <w:rFonts w:ascii="仿宋" w:eastAsia="仿宋" w:hAnsi="仿宋" w:hint="eastAsia"/>
          <w:sz w:val="32"/>
          <w:szCs w:val="32"/>
        </w:rPr>
        <w:t>天，恢复执行案件实际执行到位率1</w:t>
      </w:r>
      <w:r w:rsidR="002C67D5">
        <w:rPr>
          <w:rFonts w:ascii="仿宋" w:eastAsia="仿宋" w:hAnsi="仿宋" w:hint="eastAsia"/>
          <w:sz w:val="32"/>
          <w:szCs w:val="32"/>
        </w:rPr>
        <w:t>02.06</w:t>
      </w:r>
      <w:r w:rsidR="00607152" w:rsidRPr="002C67D5">
        <w:rPr>
          <w:rFonts w:ascii="仿宋" w:eastAsia="仿宋" w:hAnsi="仿宋" w:hint="eastAsia"/>
          <w:sz w:val="32"/>
          <w:szCs w:val="32"/>
        </w:rPr>
        <w:t>%</w:t>
      </w:r>
      <w:r w:rsidR="002C67D5">
        <w:rPr>
          <w:rFonts w:ascii="仿宋" w:eastAsia="仿宋" w:hAnsi="仿宋" w:hint="eastAsia"/>
          <w:sz w:val="32"/>
          <w:szCs w:val="32"/>
        </w:rPr>
        <w:t>，</w:t>
      </w:r>
      <w:proofErr w:type="gramStart"/>
      <w:r w:rsidR="002C67D5">
        <w:rPr>
          <w:rFonts w:ascii="仿宋" w:eastAsia="仿宋" w:hAnsi="仿宋" w:hint="eastAsia"/>
          <w:sz w:val="32"/>
          <w:szCs w:val="32"/>
        </w:rPr>
        <w:t>终本案件</w:t>
      </w:r>
      <w:proofErr w:type="gramEnd"/>
      <w:r w:rsidR="002C67D5">
        <w:rPr>
          <w:rFonts w:ascii="仿宋" w:eastAsia="仿宋" w:hAnsi="仿宋" w:hint="eastAsia"/>
          <w:sz w:val="32"/>
          <w:szCs w:val="32"/>
        </w:rPr>
        <w:t>合格率100.00%</w:t>
      </w:r>
      <w:r w:rsidR="00607152" w:rsidRPr="002C67D5">
        <w:rPr>
          <w:rFonts w:ascii="仿宋" w:eastAsia="仿宋" w:hAnsi="仿宋" w:hint="eastAsia"/>
          <w:sz w:val="32"/>
          <w:szCs w:val="32"/>
        </w:rPr>
        <w:t>。</w:t>
      </w:r>
    </w:p>
    <w:p w:rsidR="00270ADB" w:rsidRPr="00B94EE6" w:rsidRDefault="00AE6944" w:rsidP="00C3195B">
      <w:pPr>
        <w:spacing w:after="0" w:line="360" w:lineRule="auto"/>
        <w:ind w:firstLineChars="200" w:firstLine="640"/>
        <w:jc w:val="both"/>
        <w:rPr>
          <w:rFonts w:ascii="仿宋" w:eastAsia="仿宋" w:hAnsi="仿宋"/>
          <w:sz w:val="32"/>
          <w:szCs w:val="32"/>
        </w:rPr>
      </w:pPr>
      <w:r w:rsidRPr="00B94EE6">
        <w:rPr>
          <w:rFonts w:ascii="仿宋" w:eastAsia="仿宋" w:hAnsi="仿宋" w:hint="eastAsia"/>
          <w:sz w:val="32"/>
          <w:szCs w:val="32"/>
        </w:rPr>
        <w:t>与去年同期相比，执行类案件受理案件数</w:t>
      </w:r>
      <w:r w:rsidR="00611D4C" w:rsidRPr="00B94EE6">
        <w:rPr>
          <w:rFonts w:ascii="仿宋" w:eastAsia="仿宋" w:hAnsi="仿宋" w:hint="eastAsia"/>
          <w:sz w:val="32"/>
          <w:szCs w:val="32"/>
        </w:rPr>
        <w:t>减少</w:t>
      </w:r>
      <w:r w:rsidR="00BF24C6">
        <w:rPr>
          <w:rFonts w:ascii="仿宋" w:eastAsia="仿宋" w:hAnsi="仿宋" w:hint="eastAsia"/>
          <w:sz w:val="32"/>
          <w:szCs w:val="32"/>
        </w:rPr>
        <w:t>2</w:t>
      </w:r>
      <w:r w:rsidRPr="00B94EE6">
        <w:rPr>
          <w:rFonts w:ascii="仿宋" w:eastAsia="仿宋" w:hAnsi="仿宋" w:hint="eastAsia"/>
          <w:sz w:val="32"/>
          <w:szCs w:val="32"/>
        </w:rPr>
        <w:t>件，同比</w:t>
      </w:r>
      <w:r w:rsidR="00611D4C" w:rsidRPr="00B94EE6">
        <w:rPr>
          <w:rFonts w:ascii="仿宋" w:eastAsia="仿宋" w:hAnsi="仿宋" w:hint="eastAsia"/>
          <w:sz w:val="32"/>
          <w:szCs w:val="32"/>
        </w:rPr>
        <w:t>下降</w:t>
      </w:r>
      <w:r w:rsidR="00BF24C6">
        <w:rPr>
          <w:rFonts w:ascii="仿宋" w:eastAsia="仿宋" w:hAnsi="仿宋" w:hint="eastAsia"/>
          <w:sz w:val="32"/>
          <w:szCs w:val="32"/>
        </w:rPr>
        <w:t>7.14</w:t>
      </w:r>
      <w:r w:rsidRPr="00B94EE6">
        <w:rPr>
          <w:rFonts w:ascii="仿宋" w:eastAsia="仿宋" w:hAnsi="仿宋" w:hint="eastAsia"/>
          <w:sz w:val="32"/>
          <w:szCs w:val="32"/>
        </w:rPr>
        <w:t>% ；旧存案件减少</w:t>
      </w:r>
      <w:r w:rsidR="00BF24C6">
        <w:rPr>
          <w:rFonts w:ascii="仿宋" w:eastAsia="仿宋" w:hAnsi="仿宋" w:hint="eastAsia"/>
          <w:sz w:val="32"/>
          <w:szCs w:val="32"/>
        </w:rPr>
        <w:t>1</w:t>
      </w:r>
      <w:r w:rsidRPr="00B94EE6">
        <w:rPr>
          <w:rFonts w:ascii="仿宋" w:eastAsia="仿宋" w:hAnsi="仿宋" w:hint="eastAsia"/>
          <w:sz w:val="32"/>
          <w:szCs w:val="32"/>
        </w:rPr>
        <w:t>件，同比下降</w:t>
      </w:r>
      <w:r w:rsidR="00BF24C6">
        <w:rPr>
          <w:rFonts w:ascii="仿宋" w:eastAsia="仿宋" w:hAnsi="仿宋" w:hint="eastAsia"/>
          <w:sz w:val="32"/>
          <w:szCs w:val="32"/>
        </w:rPr>
        <w:t>100.00</w:t>
      </w:r>
      <w:r w:rsidRPr="00B94EE6">
        <w:rPr>
          <w:rFonts w:ascii="仿宋" w:eastAsia="仿宋" w:hAnsi="仿宋" w:hint="eastAsia"/>
          <w:sz w:val="32"/>
          <w:szCs w:val="32"/>
        </w:rPr>
        <w:t>%</w:t>
      </w:r>
      <w:r w:rsidR="006C59C7" w:rsidRPr="00B94EE6">
        <w:rPr>
          <w:rFonts w:ascii="仿宋" w:eastAsia="仿宋" w:hAnsi="仿宋" w:hint="eastAsia"/>
          <w:sz w:val="32"/>
          <w:szCs w:val="32"/>
        </w:rPr>
        <w:t xml:space="preserve"> ；</w:t>
      </w:r>
      <w:r w:rsidRPr="00B94EE6">
        <w:rPr>
          <w:rFonts w:ascii="仿宋" w:eastAsia="仿宋" w:hAnsi="仿宋" w:hint="eastAsia"/>
          <w:sz w:val="32"/>
          <w:szCs w:val="32"/>
        </w:rPr>
        <w:t>新收案件</w:t>
      </w:r>
      <w:r w:rsidR="00611D4C" w:rsidRPr="00B94EE6">
        <w:rPr>
          <w:rFonts w:ascii="仿宋" w:eastAsia="仿宋" w:hAnsi="仿宋" w:hint="eastAsia"/>
          <w:sz w:val="32"/>
          <w:szCs w:val="32"/>
        </w:rPr>
        <w:t>减少</w:t>
      </w:r>
      <w:r w:rsidR="00BF24C6">
        <w:rPr>
          <w:rFonts w:ascii="仿宋" w:eastAsia="仿宋" w:hAnsi="仿宋" w:hint="eastAsia"/>
          <w:sz w:val="32"/>
          <w:szCs w:val="32"/>
        </w:rPr>
        <w:t>1</w:t>
      </w:r>
      <w:r w:rsidRPr="00B94EE6">
        <w:rPr>
          <w:rFonts w:ascii="仿宋" w:eastAsia="仿宋" w:hAnsi="仿宋" w:hint="eastAsia"/>
          <w:sz w:val="32"/>
          <w:szCs w:val="32"/>
        </w:rPr>
        <w:t>件，同比</w:t>
      </w:r>
      <w:r w:rsidR="00611D4C" w:rsidRPr="00B94EE6">
        <w:rPr>
          <w:rFonts w:ascii="仿宋" w:eastAsia="仿宋" w:hAnsi="仿宋" w:hint="eastAsia"/>
          <w:sz w:val="32"/>
          <w:szCs w:val="32"/>
        </w:rPr>
        <w:t>下降3.</w:t>
      </w:r>
      <w:r w:rsidR="00BF24C6">
        <w:rPr>
          <w:rFonts w:ascii="仿宋" w:eastAsia="仿宋" w:hAnsi="仿宋" w:hint="eastAsia"/>
          <w:sz w:val="32"/>
          <w:szCs w:val="32"/>
        </w:rPr>
        <w:t>70</w:t>
      </w:r>
      <w:r w:rsidRPr="00B94EE6">
        <w:rPr>
          <w:rFonts w:ascii="仿宋" w:eastAsia="仿宋" w:hAnsi="仿宋" w:hint="eastAsia"/>
          <w:sz w:val="32"/>
          <w:szCs w:val="32"/>
        </w:rPr>
        <w:t>%</w:t>
      </w:r>
      <w:r w:rsidR="006C59C7" w:rsidRPr="00B94EE6">
        <w:rPr>
          <w:rFonts w:ascii="仿宋" w:eastAsia="仿宋" w:hAnsi="仿宋" w:hint="eastAsia"/>
          <w:sz w:val="32"/>
          <w:szCs w:val="32"/>
        </w:rPr>
        <w:t xml:space="preserve"> </w:t>
      </w:r>
      <w:r w:rsidR="00295B78" w:rsidRPr="00B94EE6">
        <w:rPr>
          <w:rFonts w:ascii="仿宋" w:eastAsia="仿宋" w:hAnsi="仿宋" w:hint="eastAsia"/>
          <w:sz w:val="32"/>
          <w:szCs w:val="32"/>
        </w:rPr>
        <w:t>；执</w:t>
      </w:r>
      <w:proofErr w:type="gramStart"/>
      <w:r w:rsidR="00295B78" w:rsidRPr="00B94EE6">
        <w:rPr>
          <w:rFonts w:ascii="仿宋" w:eastAsia="仿宋" w:hAnsi="仿宋" w:hint="eastAsia"/>
          <w:sz w:val="32"/>
          <w:szCs w:val="32"/>
        </w:rPr>
        <w:t>结</w:t>
      </w:r>
      <w:r w:rsidR="00BF24C6">
        <w:rPr>
          <w:rFonts w:ascii="仿宋" w:eastAsia="仿宋" w:hAnsi="仿宋" w:hint="eastAsia"/>
          <w:sz w:val="32"/>
          <w:szCs w:val="32"/>
        </w:rPr>
        <w:t>增加</w:t>
      </w:r>
      <w:proofErr w:type="gramEnd"/>
      <w:r w:rsidR="00BF24C6">
        <w:rPr>
          <w:rFonts w:ascii="仿宋" w:eastAsia="仿宋" w:hAnsi="仿宋" w:hint="eastAsia"/>
          <w:sz w:val="32"/>
          <w:szCs w:val="32"/>
        </w:rPr>
        <w:t>1</w:t>
      </w:r>
      <w:r w:rsidRPr="00B94EE6">
        <w:rPr>
          <w:rFonts w:ascii="仿宋" w:eastAsia="仿宋" w:hAnsi="仿宋" w:hint="eastAsia"/>
          <w:sz w:val="32"/>
          <w:szCs w:val="32"/>
        </w:rPr>
        <w:t>件，</w:t>
      </w:r>
      <w:r w:rsidR="00B52436" w:rsidRPr="00B94EE6">
        <w:rPr>
          <w:rFonts w:ascii="仿宋" w:eastAsia="仿宋" w:hAnsi="仿宋" w:hint="eastAsia"/>
          <w:sz w:val="32"/>
          <w:szCs w:val="32"/>
        </w:rPr>
        <w:t>同比</w:t>
      </w:r>
      <w:r w:rsidR="00BF24C6">
        <w:rPr>
          <w:rFonts w:ascii="仿宋" w:eastAsia="仿宋" w:hAnsi="仿宋" w:hint="eastAsia"/>
          <w:sz w:val="32"/>
          <w:szCs w:val="32"/>
        </w:rPr>
        <w:t>上升4.00</w:t>
      </w:r>
      <w:r w:rsidRPr="00B94EE6">
        <w:rPr>
          <w:rFonts w:ascii="仿宋" w:eastAsia="仿宋" w:hAnsi="仿宋" w:hint="eastAsia"/>
          <w:sz w:val="32"/>
          <w:szCs w:val="32"/>
        </w:rPr>
        <w:t>% ；未结案件</w:t>
      </w:r>
      <w:r w:rsidR="00611D4C" w:rsidRPr="00B94EE6">
        <w:rPr>
          <w:rFonts w:ascii="仿宋" w:eastAsia="仿宋" w:hAnsi="仿宋" w:hint="eastAsia"/>
          <w:sz w:val="32"/>
          <w:szCs w:val="32"/>
        </w:rPr>
        <w:t>减少</w:t>
      </w:r>
      <w:r w:rsidR="00BF24C6">
        <w:rPr>
          <w:rFonts w:ascii="仿宋" w:eastAsia="仿宋" w:hAnsi="仿宋" w:hint="eastAsia"/>
          <w:sz w:val="32"/>
          <w:szCs w:val="32"/>
        </w:rPr>
        <w:t>3</w:t>
      </w:r>
      <w:r w:rsidRPr="00B94EE6">
        <w:rPr>
          <w:rFonts w:ascii="仿宋" w:eastAsia="仿宋" w:hAnsi="仿宋" w:hint="eastAsia"/>
          <w:sz w:val="32"/>
          <w:szCs w:val="32"/>
        </w:rPr>
        <w:t>件，同比</w:t>
      </w:r>
      <w:r w:rsidR="00611D4C" w:rsidRPr="00B94EE6">
        <w:rPr>
          <w:rFonts w:ascii="仿宋" w:eastAsia="仿宋" w:hAnsi="仿宋" w:hint="eastAsia"/>
          <w:sz w:val="32"/>
          <w:szCs w:val="32"/>
        </w:rPr>
        <w:t>下降</w:t>
      </w:r>
      <w:r w:rsidR="00CA0E80" w:rsidRPr="00B94EE6">
        <w:rPr>
          <w:rFonts w:ascii="仿宋" w:eastAsia="仿宋" w:hAnsi="仿宋" w:hint="eastAsia"/>
          <w:sz w:val="32"/>
          <w:szCs w:val="32"/>
        </w:rPr>
        <w:t>100.00</w:t>
      </w:r>
      <w:r w:rsidR="00611D4C" w:rsidRPr="00B94EE6">
        <w:rPr>
          <w:rFonts w:ascii="仿宋" w:eastAsia="仿宋" w:hAnsi="仿宋" w:hint="eastAsia"/>
          <w:sz w:val="32"/>
          <w:szCs w:val="32"/>
        </w:rPr>
        <w:t>%</w:t>
      </w:r>
      <w:r w:rsidR="00733313" w:rsidRPr="00B94EE6">
        <w:rPr>
          <w:rFonts w:ascii="仿宋" w:eastAsia="仿宋" w:hAnsi="仿宋" w:hint="eastAsia"/>
          <w:sz w:val="32"/>
          <w:szCs w:val="32"/>
        </w:rPr>
        <w:t>；结案率</w:t>
      </w:r>
      <w:r w:rsidR="00B94EE6" w:rsidRPr="00B94EE6">
        <w:rPr>
          <w:rFonts w:ascii="仿宋" w:eastAsia="仿宋" w:hAnsi="仿宋" w:hint="eastAsia"/>
          <w:sz w:val="32"/>
          <w:szCs w:val="32"/>
        </w:rPr>
        <w:t>上升</w:t>
      </w:r>
      <w:r w:rsidR="00BF24C6">
        <w:rPr>
          <w:rFonts w:ascii="仿宋" w:eastAsia="仿宋" w:hAnsi="仿宋" w:hint="eastAsia"/>
          <w:sz w:val="32"/>
          <w:szCs w:val="32"/>
        </w:rPr>
        <w:t>10.71</w:t>
      </w:r>
      <w:r w:rsidR="00B94EE6" w:rsidRPr="00B94EE6">
        <w:rPr>
          <w:rFonts w:ascii="仿宋" w:eastAsia="仿宋" w:hAnsi="仿宋" w:hint="eastAsia"/>
          <w:sz w:val="32"/>
          <w:szCs w:val="32"/>
        </w:rPr>
        <w:t>个</w:t>
      </w:r>
      <w:r w:rsidR="00733313" w:rsidRPr="00B94EE6">
        <w:rPr>
          <w:rFonts w:ascii="仿宋" w:eastAsia="仿宋" w:hAnsi="仿宋" w:hint="eastAsia"/>
          <w:sz w:val="32"/>
          <w:szCs w:val="32"/>
        </w:rPr>
        <w:t>百分点。</w:t>
      </w:r>
    </w:p>
    <w:p w:rsidR="00D30CF3" w:rsidRPr="00B97C70" w:rsidRDefault="00AE6944" w:rsidP="00B97C70">
      <w:pPr>
        <w:spacing w:after="0" w:line="360" w:lineRule="auto"/>
        <w:ind w:firstLineChars="200" w:firstLine="640"/>
        <w:jc w:val="both"/>
        <w:rPr>
          <w:rFonts w:ascii="黑体" w:eastAsia="黑体" w:hAnsi="黑体"/>
          <w:sz w:val="32"/>
          <w:szCs w:val="32"/>
        </w:rPr>
      </w:pPr>
      <w:r>
        <w:rPr>
          <w:rFonts w:ascii="黑体" w:eastAsia="黑体" w:hAnsi="黑体"/>
          <w:noProof/>
          <w:sz w:val="32"/>
          <w:szCs w:val="32"/>
        </w:rPr>
        <w:lastRenderedPageBreak/>
        <w:drawing>
          <wp:inline distT="0" distB="0" distL="0" distR="0">
            <wp:extent cx="5486400" cy="2971800"/>
            <wp:effectExtent l="19050" t="0" r="1905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47D2" w:rsidRPr="00CA0E80" w:rsidRDefault="00E147D2" w:rsidP="00E147D2">
      <w:pPr>
        <w:spacing w:after="0" w:line="360" w:lineRule="auto"/>
        <w:ind w:firstLineChars="200" w:firstLine="643"/>
        <w:jc w:val="both"/>
        <w:rPr>
          <w:rFonts w:asciiTheme="majorEastAsia" w:eastAsiaTheme="majorEastAsia" w:hAnsiTheme="majorEastAsia"/>
          <w:b/>
          <w:sz w:val="32"/>
          <w:szCs w:val="32"/>
        </w:rPr>
      </w:pPr>
      <w:r w:rsidRPr="00CA0E80">
        <w:rPr>
          <w:rFonts w:asciiTheme="majorEastAsia" w:eastAsiaTheme="majorEastAsia" w:hAnsiTheme="majorEastAsia" w:hint="eastAsia"/>
          <w:b/>
          <w:sz w:val="32"/>
          <w:szCs w:val="32"/>
        </w:rPr>
        <w:t>（四）</w:t>
      </w:r>
      <w:r w:rsidR="00D30CF3" w:rsidRPr="00CA0E80">
        <w:rPr>
          <w:rFonts w:asciiTheme="majorEastAsia" w:eastAsiaTheme="majorEastAsia" w:hAnsiTheme="majorEastAsia" w:hint="eastAsia"/>
          <w:b/>
          <w:sz w:val="32"/>
          <w:szCs w:val="32"/>
        </w:rPr>
        <w:t>结案率</w:t>
      </w:r>
      <w:r w:rsidRPr="00CA0E80">
        <w:rPr>
          <w:rFonts w:asciiTheme="majorEastAsia" w:eastAsiaTheme="majorEastAsia" w:hAnsiTheme="majorEastAsia" w:hint="eastAsia"/>
          <w:b/>
          <w:sz w:val="32"/>
          <w:szCs w:val="32"/>
        </w:rPr>
        <w:t>情况</w:t>
      </w:r>
      <w:r w:rsidR="004644A6" w:rsidRPr="00CA0E80">
        <w:rPr>
          <w:rFonts w:asciiTheme="majorEastAsia" w:eastAsiaTheme="majorEastAsia" w:hAnsiTheme="majorEastAsia" w:hint="eastAsia"/>
          <w:b/>
          <w:sz w:val="32"/>
          <w:szCs w:val="32"/>
        </w:rPr>
        <w:t>（全口径）</w:t>
      </w:r>
    </w:p>
    <w:p w:rsidR="007D7CA1" w:rsidRPr="00A94BBF" w:rsidRDefault="00B168B4" w:rsidP="00245BD3">
      <w:pPr>
        <w:spacing w:after="0" w:line="360" w:lineRule="auto"/>
        <w:ind w:firstLineChars="250" w:firstLine="800"/>
        <w:jc w:val="both"/>
        <w:rPr>
          <w:rFonts w:ascii="仿宋" w:eastAsia="仿宋" w:hAnsi="仿宋"/>
          <w:sz w:val="32"/>
          <w:szCs w:val="32"/>
        </w:rPr>
      </w:pPr>
      <w:r w:rsidRPr="00A94BBF">
        <w:rPr>
          <w:rFonts w:ascii="仿宋" w:eastAsia="仿宋" w:hAnsi="仿宋" w:hint="eastAsia"/>
          <w:sz w:val="32"/>
          <w:szCs w:val="32"/>
        </w:rPr>
        <w:t>2021年第一季度</w:t>
      </w:r>
      <w:r w:rsidR="007D7CA1" w:rsidRPr="00A94BBF">
        <w:rPr>
          <w:rFonts w:ascii="仿宋" w:eastAsia="仿宋" w:hAnsi="仿宋" w:hint="eastAsia"/>
          <w:sz w:val="32"/>
          <w:szCs w:val="32"/>
        </w:rPr>
        <w:t>林区、铁路15家基层</w:t>
      </w:r>
      <w:proofErr w:type="gramStart"/>
      <w:r w:rsidR="007D7CA1" w:rsidRPr="00A94BBF">
        <w:rPr>
          <w:rFonts w:ascii="仿宋" w:eastAsia="仿宋" w:hAnsi="仿宋" w:hint="eastAsia"/>
          <w:sz w:val="32"/>
          <w:szCs w:val="32"/>
        </w:rPr>
        <w:t>院平均</w:t>
      </w:r>
      <w:proofErr w:type="gramEnd"/>
      <w:r w:rsidR="007D7CA1" w:rsidRPr="00A94BBF">
        <w:rPr>
          <w:rFonts w:ascii="仿宋" w:eastAsia="仿宋" w:hAnsi="仿宋" w:hint="eastAsia"/>
          <w:sz w:val="32"/>
          <w:szCs w:val="32"/>
        </w:rPr>
        <w:t>结案率9</w:t>
      </w:r>
      <w:r w:rsidR="00A94BBF" w:rsidRPr="00A94BBF">
        <w:rPr>
          <w:rFonts w:ascii="仿宋" w:eastAsia="仿宋" w:hAnsi="仿宋" w:hint="eastAsia"/>
          <w:sz w:val="32"/>
          <w:szCs w:val="32"/>
        </w:rPr>
        <w:t>2.98</w:t>
      </w:r>
      <w:r w:rsidR="007D7CA1" w:rsidRPr="00A94BBF">
        <w:rPr>
          <w:rFonts w:ascii="仿宋" w:eastAsia="仿宋" w:hAnsi="仿宋" w:hint="eastAsia"/>
          <w:sz w:val="32"/>
          <w:szCs w:val="32"/>
        </w:rPr>
        <w:t>%，两级法院平均结案率</w:t>
      </w:r>
      <w:r w:rsidR="00FE4A01" w:rsidRPr="00A94BBF">
        <w:rPr>
          <w:rFonts w:ascii="仿宋" w:eastAsia="仿宋" w:hAnsi="仿宋" w:hint="eastAsia"/>
          <w:sz w:val="32"/>
          <w:szCs w:val="32"/>
        </w:rPr>
        <w:t>9</w:t>
      </w:r>
      <w:r w:rsidR="00A94BBF" w:rsidRPr="00A94BBF">
        <w:rPr>
          <w:rFonts w:ascii="仿宋" w:eastAsia="仿宋" w:hAnsi="仿宋" w:hint="eastAsia"/>
          <w:sz w:val="32"/>
          <w:szCs w:val="32"/>
        </w:rPr>
        <w:t>1.92</w:t>
      </w:r>
      <w:r w:rsidR="007D7CA1" w:rsidRPr="00A94BBF">
        <w:rPr>
          <w:rFonts w:ascii="仿宋" w:eastAsia="仿宋" w:hAnsi="仿宋" w:hint="eastAsia"/>
          <w:sz w:val="32"/>
          <w:szCs w:val="32"/>
        </w:rPr>
        <w:t>%</w:t>
      </w:r>
      <w:r w:rsidR="004644A6" w:rsidRPr="00A94BBF">
        <w:rPr>
          <w:rFonts w:ascii="仿宋" w:eastAsia="仿宋" w:hAnsi="仿宋" w:hint="eastAsia"/>
          <w:sz w:val="32"/>
          <w:szCs w:val="32"/>
        </w:rPr>
        <w:t>，</w:t>
      </w:r>
      <w:r w:rsidR="00555227" w:rsidRPr="00A94BBF">
        <w:rPr>
          <w:rFonts w:ascii="仿宋" w:eastAsia="仿宋" w:hAnsi="仿宋" w:hint="eastAsia"/>
          <w:sz w:val="32"/>
          <w:szCs w:val="32"/>
        </w:rPr>
        <w:t>我院</w:t>
      </w:r>
      <w:r w:rsidR="00D30CF3" w:rsidRPr="00A94BBF">
        <w:rPr>
          <w:rFonts w:ascii="仿宋" w:eastAsia="仿宋" w:hAnsi="仿宋" w:hint="eastAsia"/>
          <w:sz w:val="32"/>
          <w:szCs w:val="32"/>
        </w:rPr>
        <w:t>结案率为</w:t>
      </w:r>
      <w:r w:rsidR="002C67D5" w:rsidRPr="00A94BBF">
        <w:rPr>
          <w:rFonts w:ascii="仿宋" w:eastAsia="仿宋" w:hAnsi="仿宋" w:hint="eastAsia"/>
          <w:sz w:val="32"/>
          <w:szCs w:val="32"/>
        </w:rPr>
        <w:t>97.56</w:t>
      </w:r>
      <w:r w:rsidR="00D30CF3" w:rsidRPr="00A94BBF">
        <w:rPr>
          <w:rFonts w:ascii="仿宋" w:eastAsia="仿宋" w:hAnsi="仿宋" w:hint="eastAsia"/>
          <w:sz w:val="32"/>
          <w:szCs w:val="32"/>
        </w:rPr>
        <w:t>%</w:t>
      </w:r>
      <w:r w:rsidR="007D7CA1" w:rsidRPr="00A94BBF">
        <w:rPr>
          <w:rFonts w:ascii="仿宋" w:eastAsia="仿宋" w:hAnsi="仿宋" w:hint="eastAsia"/>
          <w:sz w:val="32"/>
          <w:szCs w:val="32"/>
        </w:rPr>
        <w:t>，</w:t>
      </w:r>
      <w:r w:rsidR="00EC3D1D" w:rsidRPr="00A94BBF">
        <w:rPr>
          <w:rFonts w:ascii="Times New Roman" w:eastAsia="仿宋_GB2312" w:hAnsi="Times New Roman" w:cs="Times New Roman"/>
          <w:sz w:val="32"/>
          <w:szCs w:val="32"/>
        </w:rPr>
        <w:t>一季度结案率设定为</w:t>
      </w:r>
      <w:r w:rsidR="00EC3D1D" w:rsidRPr="00A94BBF">
        <w:rPr>
          <w:rFonts w:ascii="Times New Roman" w:eastAsia="仿宋_GB2312" w:hAnsi="Times New Roman" w:cs="Times New Roman"/>
          <w:sz w:val="32"/>
          <w:szCs w:val="32"/>
        </w:rPr>
        <w:t>55%</w:t>
      </w:r>
      <w:r w:rsidR="00D30CF3" w:rsidRPr="00A94BBF">
        <w:rPr>
          <w:rFonts w:ascii="仿宋" w:eastAsia="仿宋" w:hAnsi="仿宋" w:hint="eastAsia"/>
          <w:sz w:val="32"/>
          <w:szCs w:val="32"/>
        </w:rPr>
        <w:t>，高出指标值</w:t>
      </w:r>
      <w:r w:rsidR="00EC3D1D" w:rsidRPr="00A94BBF">
        <w:rPr>
          <w:rFonts w:ascii="仿宋" w:eastAsia="仿宋" w:hAnsi="仿宋" w:hint="eastAsia"/>
          <w:sz w:val="32"/>
          <w:szCs w:val="32"/>
        </w:rPr>
        <w:t>42.56</w:t>
      </w:r>
      <w:r w:rsidR="00D30CF3" w:rsidRPr="00A94BBF">
        <w:rPr>
          <w:rFonts w:ascii="仿宋" w:eastAsia="仿宋" w:hAnsi="仿宋" w:hint="eastAsia"/>
          <w:sz w:val="32"/>
          <w:szCs w:val="32"/>
        </w:rPr>
        <w:t>个百分点</w:t>
      </w:r>
      <w:r w:rsidR="00A94BBF" w:rsidRPr="00A94BBF">
        <w:rPr>
          <w:rFonts w:ascii="仿宋" w:eastAsia="仿宋" w:hAnsi="仿宋" w:hint="eastAsia"/>
          <w:sz w:val="32"/>
          <w:szCs w:val="32"/>
        </w:rPr>
        <w:t>。</w:t>
      </w:r>
    </w:p>
    <w:p w:rsidR="000C1987" w:rsidRPr="00EC3D1D" w:rsidRDefault="00026717" w:rsidP="000C1987">
      <w:pPr>
        <w:spacing w:after="0" w:line="360" w:lineRule="auto"/>
        <w:jc w:val="both"/>
        <w:rPr>
          <w:rFonts w:ascii="仿宋" w:eastAsia="仿宋" w:hAnsi="仿宋"/>
          <w:sz w:val="32"/>
          <w:szCs w:val="32"/>
        </w:rPr>
      </w:pPr>
      <w:r>
        <w:rPr>
          <w:rFonts w:ascii="仿宋" w:eastAsia="仿宋" w:hAnsi="仿宋"/>
          <w:noProof/>
          <w:sz w:val="32"/>
          <w:szCs w:val="32"/>
        </w:rPr>
        <w:drawing>
          <wp:inline distT="0" distB="0" distL="0" distR="0">
            <wp:extent cx="6188710" cy="3441700"/>
            <wp:effectExtent l="19050" t="0" r="2540" b="0"/>
            <wp:docPr id="1" name="图片 0" descr="微信图片_20210401105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401105806.png"/>
                    <pic:cNvPicPr/>
                  </pic:nvPicPr>
                  <pic:blipFill>
                    <a:blip r:embed="rId11" cstate="print"/>
                    <a:stretch>
                      <a:fillRect/>
                    </a:stretch>
                  </pic:blipFill>
                  <pic:spPr>
                    <a:xfrm>
                      <a:off x="0" y="0"/>
                      <a:ext cx="6188710" cy="3441700"/>
                    </a:xfrm>
                    <a:prstGeom prst="rect">
                      <a:avLst/>
                    </a:prstGeom>
                  </pic:spPr>
                </pic:pic>
              </a:graphicData>
            </a:graphic>
          </wp:inline>
        </w:drawing>
      </w:r>
    </w:p>
    <w:p w:rsidR="00FB7347" w:rsidRPr="0045554F" w:rsidRDefault="000C4A73" w:rsidP="0045554F">
      <w:pPr>
        <w:spacing w:after="0" w:line="360" w:lineRule="auto"/>
        <w:ind w:firstLineChars="196" w:firstLine="630"/>
        <w:jc w:val="both"/>
        <w:rPr>
          <w:rFonts w:asciiTheme="minorEastAsia" w:eastAsiaTheme="minorEastAsia" w:hAnsiTheme="minorEastAsia"/>
          <w:b/>
          <w:sz w:val="32"/>
          <w:szCs w:val="32"/>
        </w:rPr>
      </w:pPr>
      <w:r w:rsidRPr="0045554F">
        <w:rPr>
          <w:rFonts w:asciiTheme="minorEastAsia" w:eastAsiaTheme="minorEastAsia" w:hAnsiTheme="minorEastAsia" w:hint="eastAsia"/>
          <w:b/>
          <w:sz w:val="32"/>
          <w:szCs w:val="32"/>
        </w:rPr>
        <w:t>（</w:t>
      </w:r>
      <w:r w:rsidR="00E147D2">
        <w:rPr>
          <w:rFonts w:asciiTheme="minorEastAsia" w:eastAsiaTheme="minorEastAsia" w:hAnsiTheme="minorEastAsia" w:hint="eastAsia"/>
          <w:b/>
          <w:sz w:val="32"/>
          <w:szCs w:val="32"/>
        </w:rPr>
        <w:t>五</w:t>
      </w:r>
      <w:r w:rsidRPr="0045554F">
        <w:rPr>
          <w:rFonts w:asciiTheme="minorEastAsia" w:eastAsiaTheme="minorEastAsia" w:hAnsiTheme="minorEastAsia" w:hint="eastAsia"/>
          <w:b/>
          <w:sz w:val="32"/>
          <w:szCs w:val="32"/>
        </w:rPr>
        <w:t>）</w:t>
      </w:r>
      <w:r w:rsidR="00EC3D1D">
        <w:rPr>
          <w:rFonts w:asciiTheme="minorEastAsia" w:eastAsiaTheme="minorEastAsia" w:hAnsiTheme="minorEastAsia" w:hint="eastAsia"/>
          <w:b/>
          <w:sz w:val="32"/>
          <w:szCs w:val="32"/>
        </w:rPr>
        <w:t>诉讼案件</w:t>
      </w:r>
      <w:r w:rsidR="00EC3D1D" w:rsidRPr="0045554F">
        <w:rPr>
          <w:rFonts w:asciiTheme="majorEastAsia" w:eastAsiaTheme="majorEastAsia" w:hAnsiTheme="majorEastAsia" w:hint="eastAsia"/>
          <w:b/>
          <w:sz w:val="32"/>
          <w:szCs w:val="32"/>
        </w:rPr>
        <w:t>法定审限内结案率情况</w:t>
      </w:r>
    </w:p>
    <w:p w:rsidR="00EC3D1D" w:rsidRPr="00E147D2" w:rsidRDefault="00EC3D1D" w:rsidP="00EC3D1D">
      <w:pPr>
        <w:spacing w:after="0" w:line="360" w:lineRule="auto"/>
        <w:ind w:firstLineChars="250" w:firstLine="800"/>
        <w:jc w:val="both"/>
        <w:rPr>
          <w:rFonts w:ascii="仿宋" w:eastAsia="仿宋" w:hAnsi="仿宋"/>
          <w:sz w:val="32"/>
          <w:szCs w:val="32"/>
        </w:rPr>
      </w:pPr>
      <w:r>
        <w:rPr>
          <w:rFonts w:ascii="仿宋" w:eastAsia="仿宋" w:hAnsi="仿宋" w:hint="eastAsia"/>
          <w:sz w:val="32"/>
          <w:szCs w:val="32"/>
        </w:rPr>
        <w:lastRenderedPageBreak/>
        <w:t>2021年第一季度，法定（正常）审限内结案率100%。</w:t>
      </w:r>
    </w:p>
    <w:p w:rsidR="006F22F7" w:rsidRPr="0045554F" w:rsidRDefault="00AE6944" w:rsidP="00245BD3">
      <w:pPr>
        <w:spacing w:after="0" w:line="360" w:lineRule="auto"/>
        <w:ind w:firstLineChars="200" w:firstLine="643"/>
        <w:jc w:val="both"/>
        <w:rPr>
          <w:rFonts w:asciiTheme="majorEastAsia" w:eastAsiaTheme="majorEastAsia" w:hAnsiTheme="majorEastAsia"/>
          <w:b/>
          <w:sz w:val="32"/>
          <w:szCs w:val="32"/>
        </w:rPr>
      </w:pPr>
      <w:r w:rsidRPr="0045554F">
        <w:rPr>
          <w:rFonts w:asciiTheme="majorEastAsia" w:eastAsiaTheme="majorEastAsia" w:hAnsiTheme="majorEastAsia" w:hint="eastAsia"/>
          <w:b/>
          <w:sz w:val="32"/>
          <w:szCs w:val="32"/>
        </w:rPr>
        <w:t>（</w:t>
      </w:r>
      <w:r w:rsidR="00E147D2">
        <w:rPr>
          <w:rFonts w:asciiTheme="majorEastAsia" w:eastAsiaTheme="majorEastAsia" w:hAnsiTheme="majorEastAsia" w:hint="eastAsia"/>
          <w:b/>
          <w:sz w:val="32"/>
          <w:szCs w:val="32"/>
        </w:rPr>
        <w:t>六</w:t>
      </w:r>
      <w:r w:rsidRPr="0045554F">
        <w:rPr>
          <w:rFonts w:asciiTheme="majorEastAsia" w:eastAsiaTheme="majorEastAsia" w:hAnsiTheme="majorEastAsia" w:hint="eastAsia"/>
          <w:b/>
          <w:sz w:val="32"/>
          <w:szCs w:val="32"/>
        </w:rPr>
        <w:t>）</w:t>
      </w:r>
      <w:r w:rsidR="00EC3D1D" w:rsidRPr="00F80671">
        <w:rPr>
          <w:rFonts w:asciiTheme="majorEastAsia" w:eastAsiaTheme="majorEastAsia" w:hAnsiTheme="majorEastAsia" w:hint="eastAsia"/>
          <w:b/>
          <w:sz w:val="32"/>
          <w:szCs w:val="32"/>
        </w:rPr>
        <w:t>简易程序适用率情况</w:t>
      </w:r>
    </w:p>
    <w:p w:rsidR="00EC3D1D" w:rsidRPr="00F02A81" w:rsidRDefault="00EC3D1D" w:rsidP="00EC3D1D">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2021年第一季度适用简易程序案件共14件，其中刑事案件适用简易程序2件，</w:t>
      </w:r>
      <w:proofErr w:type="gramStart"/>
      <w:r>
        <w:rPr>
          <w:rFonts w:ascii="仿宋" w:eastAsia="仿宋" w:hAnsi="仿宋" w:hint="eastAsia"/>
          <w:sz w:val="32"/>
          <w:szCs w:val="32"/>
        </w:rPr>
        <w:t>速裁7件</w:t>
      </w:r>
      <w:proofErr w:type="gramEnd"/>
      <w:r>
        <w:rPr>
          <w:rFonts w:ascii="仿宋" w:eastAsia="仿宋" w:hAnsi="仿宋" w:hint="eastAsia"/>
          <w:sz w:val="32"/>
          <w:szCs w:val="32"/>
        </w:rPr>
        <w:t>，民事案件适用简易程序5件，简易程序适用率年度指标要求达到85%以上，我院第一季度一审简易程序适用率100.00</w:t>
      </w:r>
      <w:r w:rsidRPr="009F343B">
        <w:rPr>
          <w:rFonts w:ascii="仿宋" w:eastAsia="仿宋" w:hAnsi="仿宋" w:hint="eastAsia"/>
          <w:sz w:val="32"/>
          <w:szCs w:val="32"/>
        </w:rPr>
        <w:t>%。</w:t>
      </w:r>
    </w:p>
    <w:p w:rsidR="002534E5" w:rsidRPr="00F80671" w:rsidRDefault="0045554F" w:rsidP="002534E5">
      <w:pPr>
        <w:spacing w:after="0" w:line="360" w:lineRule="auto"/>
        <w:ind w:firstLineChars="200" w:firstLine="643"/>
        <w:jc w:val="both"/>
        <w:rPr>
          <w:rFonts w:asciiTheme="majorEastAsia" w:eastAsiaTheme="majorEastAsia" w:hAnsiTheme="majorEastAsia"/>
          <w:b/>
          <w:sz w:val="32"/>
          <w:szCs w:val="32"/>
        </w:rPr>
      </w:pPr>
      <w:r w:rsidRPr="0045554F">
        <w:rPr>
          <w:rFonts w:asciiTheme="majorEastAsia" w:eastAsiaTheme="majorEastAsia" w:hAnsiTheme="majorEastAsia" w:hint="eastAsia"/>
          <w:b/>
          <w:sz w:val="32"/>
          <w:szCs w:val="32"/>
        </w:rPr>
        <w:t>（</w:t>
      </w:r>
      <w:r w:rsidR="00E147D2">
        <w:rPr>
          <w:rFonts w:asciiTheme="majorEastAsia" w:eastAsiaTheme="majorEastAsia" w:hAnsiTheme="majorEastAsia" w:hint="eastAsia"/>
          <w:b/>
          <w:sz w:val="32"/>
          <w:szCs w:val="32"/>
        </w:rPr>
        <w:t>七</w:t>
      </w:r>
      <w:r w:rsidR="00AE6944" w:rsidRPr="0045554F">
        <w:rPr>
          <w:rFonts w:asciiTheme="majorEastAsia" w:eastAsiaTheme="majorEastAsia" w:hAnsiTheme="majorEastAsia" w:hint="eastAsia"/>
          <w:b/>
          <w:sz w:val="32"/>
          <w:szCs w:val="32"/>
        </w:rPr>
        <w:t>）</w:t>
      </w:r>
      <w:r w:rsidR="002534E5" w:rsidRPr="002534E5">
        <w:rPr>
          <w:rFonts w:asciiTheme="majorEastAsia" w:eastAsiaTheme="majorEastAsia" w:hAnsiTheme="majorEastAsia"/>
          <w:b/>
          <w:bCs/>
          <w:sz w:val="32"/>
          <w:szCs w:val="32"/>
        </w:rPr>
        <w:t>院领导审执结案件数</w:t>
      </w:r>
      <w:r w:rsidR="002534E5" w:rsidRPr="00F80671">
        <w:rPr>
          <w:rFonts w:asciiTheme="majorEastAsia" w:eastAsiaTheme="majorEastAsia" w:hAnsiTheme="majorEastAsia" w:hint="eastAsia"/>
          <w:b/>
          <w:sz w:val="32"/>
          <w:szCs w:val="32"/>
        </w:rPr>
        <w:t>情况</w:t>
      </w:r>
    </w:p>
    <w:p w:rsidR="006F22F7" w:rsidRPr="002534E5" w:rsidRDefault="002534E5" w:rsidP="002534E5">
      <w:pPr>
        <w:spacing w:line="57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该项按年度进行考核，院长审执结案件数量指标应当不少于本院法官平均结案数量的</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；其他院领导平均审执结案件数量指标应当不少于本院法官平均结案数量的</w:t>
      </w:r>
      <w:r>
        <w:rPr>
          <w:rFonts w:ascii="Times New Roman" w:eastAsia="仿宋_GB2312" w:hAnsi="Times New Roman" w:cs="Times New Roman"/>
          <w:bCs/>
          <w:sz w:val="32"/>
          <w:szCs w:val="32"/>
        </w:rPr>
        <w:t>30%</w:t>
      </w:r>
      <w:r w:rsidRPr="002E60CA">
        <w:rPr>
          <w:rFonts w:ascii="仿宋" w:eastAsia="仿宋" w:hAnsi="仿宋" w:hint="eastAsia"/>
          <w:color w:val="000000" w:themeColor="text1"/>
          <w:sz w:val="32"/>
          <w:szCs w:val="32"/>
        </w:rPr>
        <w:t>。</w:t>
      </w:r>
    </w:p>
    <w:p w:rsidR="0045416B" w:rsidRPr="002534E5" w:rsidRDefault="00AE6944" w:rsidP="0045416B">
      <w:pPr>
        <w:spacing w:after="0" w:line="360" w:lineRule="auto"/>
        <w:ind w:firstLineChars="200" w:firstLine="643"/>
        <w:jc w:val="both"/>
        <w:rPr>
          <w:rFonts w:asciiTheme="majorEastAsia" w:eastAsiaTheme="majorEastAsia" w:hAnsiTheme="majorEastAsia"/>
          <w:b/>
          <w:sz w:val="32"/>
          <w:szCs w:val="32"/>
        </w:rPr>
      </w:pPr>
      <w:r w:rsidRPr="00F80671">
        <w:rPr>
          <w:rFonts w:asciiTheme="majorEastAsia" w:eastAsiaTheme="majorEastAsia" w:hAnsiTheme="majorEastAsia" w:hint="eastAsia"/>
          <w:b/>
          <w:sz w:val="32"/>
          <w:szCs w:val="32"/>
        </w:rPr>
        <w:t>（</w:t>
      </w:r>
      <w:r w:rsidR="00E147D2">
        <w:rPr>
          <w:rFonts w:asciiTheme="majorEastAsia" w:eastAsiaTheme="majorEastAsia" w:hAnsiTheme="majorEastAsia" w:hint="eastAsia"/>
          <w:b/>
          <w:sz w:val="32"/>
          <w:szCs w:val="32"/>
        </w:rPr>
        <w:t>八</w:t>
      </w:r>
      <w:r w:rsidRPr="00F80671">
        <w:rPr>
          <w:rFonts w:asciiTheme="majorEastAsia" w:eastAsiaTheme="majorEastAsia" w:hAnsiTheme="majorEastAsia" w:hint="eastAsia"/>
          <w:b/>
          <w:sz w:val="32"/>
          <w:szCs w:val="32"/>
        </w:rPr>
        <w:t>）</w:t>
      </w:r>
      <w:r w:rsidR="0045416B" w:rsidRPr="0074089E">
        <w:rPr>
          <w:rFonts w:asciiTheme="minorEastAsia" w:eastAsiaTheme="minorEastAsia" w:hAnsiTheme="minorEastAsia" w:hint="eastAsia"/>
          <w:b/>
          <w:color w:val="000000" w:themeColor="text1"/>
          <w:sz w:val="32"/>
          <w:szCs w:val="32"/>
        </w:rPr>
        <w:t>卷宗归档率情况</w:t>
      </w:r>
    </w:p>
    <w:p w:rsidR="00667A48" w:rsidRPr="0045416B" w:rsidRDefault="0045416B" w:rsidP="0045416B">
      <w:pPr>
        <w:spacing w:line="360" w:lineRule="auto"/>
        <w:ind w:firstLineChars="200" w:firstLine="640"/>
        <w:rPr>
          <w:rFonts w:ascii="仿宋" w:eastAsia="仿宋" w:hAnsi="仿宋"/>
          <w:sz w:val="32"/>
          <w:szCs w:val="32"/>
        </w:rPr>
      </w:pPr>
      <w:r>
        <w:rPr>
          <w:rFonts w:ascii="仿宋" w:eastAsia="仿宋" w:hAnsi="仿宋" w:hint="eastAsia"/>
          <w:sz w:val="32"/>
          <w:szCs w:val="32"/>
        </w:rPr>
        <w:t>2021年第一季度</w:t>
      </w:r>
      <w:r w:rsidRPr="00151BE3">
        <w:rPr>
          <w:rFonts w:ascii="仿宋" w:eastAsia="仿宋" w:hAnsi="仿宋" w:hint="eastAsia"/>
          <w:sz w:val="32"/>
          <w:szCs w:val="32"/>
        </w:rPr>
        <w:t>卷宗</w:t>
      </w:r>
      <w:r>
        <w:rPr>
          <w:rFonts w:ascii="仿宋" w:eastAsia="仿宋" w:hAnsi="仿宋" w:hint="eastAsia"/>
          <w:sz w:val="32"/>
          <w:szCs w:val="32"/>
        </w:rPr>
        <w:t>全部归档，</w:t>
      </w:r>
      <w:r w:rsidRPr="00151BE3">
        <w:rPr>
          <w:rFonts w:ascii="仿宋" w:eastAsia="仿宋" w:hAnsi="仿宋" w:hint="eastAsia"/>
          <w:sz w:val="32"/>
          <w:szCs w:val="32"/>
        </w:rPr>
        <w:t>归档率</w:t>
      </w:r>
      <w:r>
        <w:rPr>
          <w:rFonts w:ascii="仿宋" w:eastAsia="仿宋" w:hAnsi="仿宋" w:hint="eastAsia"/>
          <w:sz w:val="32"/>
          <w:szCs w:val="32"/>
        </w:rPr>
        <w:t>100.00</w:t>
      </w:r>
      <w:r w:rsidRPr="00151BE3">
        <w:rPr>
          <w:rFonts w:ascii="仿宋" w:eastAsia="仿宋" w:hAnsi="仿宋" w:hint="eastAsia"/>
          <w:sz w:val="32"/>
          <w:szCs w:val="32"/>
        </w:rPr>
        <w:t>%。</w:t>
      </w:r>
      <w:r w:rsidRPr="007C2166">
        <w:rPr>
          <w:rFonts w:ascii="仿宋" w:eastAsia="仿宋" w:hAnsi="仿宋" w:hint="eastAsia"/>
          <w:sz w:val="30"/>
          <w:szCs w:val="30"/>
        </w:rPr>
        <w:t>（统计日期202</w:t>
      </w:r>
      <w:r>
        <w:rPr>
          <w:rFonts w:ascii="仿宋" w:eastAsia="仿宋" w:hAnsi="仿宋" w:hint="eastAsia"/>
          <w:sz w:val="30"/>
          <w:szCs w:val="30"/>
        </w:rPr>
        <w:t>1</w:t>
      </w:r>
      <w:r w:rsidRPr="007C2166">
        <w:rPr>
          <w:rFonts w:ascii="仿宋" w:eastAsia="仿宋" w:hAnsi="仿宋" w:hint="eastAsia"/>
          <w:sz w:val="30"/>
          <w:szCs w:val="30"/>
        </w:rPr>
        <w:t>年</w:t>
      </w:r>
      <w:r>
        <w:rPr>
          <w:rFonts w:ascii="仿宋" w:eastAsia="仿宋" w:hAnsi="仿宋" w:hint="eastAsia"/>
          <w:sz w:val="30"/>
          <w:szCs w:val="30"/>
        </w:rPr>
        <w:t>4</w:t>
      </w:r>
      <w:r w:rsidRPr="007C2166">
        <w:rPr>
          <w:rFonts w:ascii="仿宋" w:eastAsia="仿宋" w:hAnsi="仿宋" w:hint="eastAsia"/>
          <w:sz w:val="30"/>
          <w:szCs w:val="30"/>
        </w:rPr>
        <w:t>月</w:t>
      </w:r>
      <w:r>
        <w:rPr>
          <w:rFonts w:ascii="仿宋" w:eastAsia="仿宋" w:hAnsi="仿宋" w:hint="eastAsia"/>
          <w:sz w:val="30"/>
          <w:szCs w:val="30"/>
        </w:rPr>
        <w:t>1</w:t>
      </w:r>
      <w:r w:rsidRPr="007C2166">
        <w:rPr>
          <w:rFonts w:ascii="仿宋" w:eastAsia="仿宋" w:hAnsi="仿宋" w:hint="eastAsia"/>
          <w:sz w:val="30"/>
          <w:szCs w:val="30"/>
        </w:rPr>
        <w:t>日）</w:t>
      </w:r>
    </w:p>
    <w:p w:rsidR="002534E5" w:rsidRDefault="002534E5" w:rsidP="002534E5">
      <w:pPr>
        <w:spacing w:after="0" w:line="360" w:lineRule="auto"/>
        <w:ind w:firstLineChars="200" w:firstLine="643"/>
        <w:jc w:val="both"/>
        <w:rPr>
          <w:rFonts w:asciiTheme="majorEastAsia" w:eastAsiaTheme="majorEastAsia" w:hAnsiTheme="majorEastAsia"/>
          <w:b/>
          <w:sz w:val="32"/>
          <w:szCs w:val="32"/>
        </w:rPr>
      </w:pPr>
      <w:r>
        <w:rPr>
          <w:rFonts w:asciiTheme="majorEastAsia" w:eastAsiaTheme="majorEastAsia" w:hAnsiTheme="majorEastAsia"/>
          <w:b/>
          <w:sz w:val="32"/>
          <w:szCs w:val="32"/>
        </w:rPr>
        <w:t>（九）</w:t>
      </w:r>
      <w:r w:rsidR="0045416B" w:rsidRPr="0045416B">
        <w:rPr>
          <w:rFonts w:asciiTheme="majorEastAsia" w:eastAsiaTheme="majorEastAsia" w:hAnsiTheme="majorEastAsia"/>
          <w:b/>
          <w:sz w:val="32"/>
          <w:szCs w:val="32"/>
        </w:rPr>
        <w:t>院庭长审判监督管理情况</w:t>
      </w:r>
    </w:p>
    <w:p w:rsidR="0045416B" w:rsidRDefault="0045416B" w:rsidP="0045416B">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）确认监管率</w:t>
      </w:r>
    </w:p>
    <w:p w:rsidR="0045416B" w:rsidRPr="00A94BBF" w:rsidRDefault="00A94BBF" w:rsidP="00A94BBF">
      <w:pPr>
        <w:spacing w:line="570" w:lineRule="exact"/>
        <w:ind w:firstLineChars="200" w:firstLine="640"/>
        <w:rPr>
          <w:rFonts w:ascii="Times New Roman" w:eastAsia="仿宋_GB2312" w:hAnsi="Times New Roman" w:cs="Times New Roman"/>
          <w:bCs/>
          <w:sz w:val="32"/>
          <w:szCs w:val="32"/>
        </w:rPr>
      </w:pPr>
      <w:r>
        <w:rPr>
          <w:rFonts w:ascii="仿宋" w:eastAsia="仿宋" w:hAnsi="仿宋" w:hint="eastAsia"/>
          <w:sz w:val="32"/>
          <w:szCs w:val="32"/>
        </w:rPr>
        <w:t>2021年第一季度暂无监管案件，</w:t>
      </w:r>
      <w:r w:rsidR="0045416B">
        <w:rPr>
          <w:rFonts w:ascii="Times New Roman" w:eastAsia="仿宋_GB2312" w:hAnsi="Times New Roman" w:cs="Times New Roman"/>
          <w:sz w:val="32"/>
          <w:szCs w:val="32"/>
        </w:rPr>
        <w:t>确认监管率</w:t>
      </w:r>
      <w:r w:rsidR="0045416B">
        <w:rPr>
          <w:rFonts w:ascii="Times New Roman" w:eastAsia="仿宋_GB2312" w:hAnsi="Times New Roman" w:cs="Times New Roman"/>
          <w:bCs/>
          <w:sz w:val="32"/>
          <w:szCs w:val="32"/>
        </w:rPr>
        <w:t>按年度进行考核</w:t>
      </w:r>
      <w:r>
        <w:rPr>
          <w:rFonts w:ascii="Times New Roman" w:eastAsia="仿宋_GB2312" w:hAnsi="Times New Roman" w:cs="Times New Roman" w:hint="eastAsia"/>
          <w:bCs/>
          <w:sz w:val="32"/>
          <w:szCs w:val="32"/>
        </w:rPr>
        <w:t>，</w:t>
      </w:r>
      <w:r w:rsidR="0045416B">
        <w:rPr>
          <w:rFonts w:ascii="Times New Roman" w:eastAsia="仿宋_GB2312" w:hAnsi="Times New Roman" w:cs="Times New Roman"/>
          <w:bCs/>
          <w:sz w:val="32"/>
          <w:szCs w:val="32"/>
        </w:rPr>
        <w:t>基础比率为</w:t>
      </w:r>
      <w:r w:rsidR="0045416B">
        <w:rPr>
          <w:rFonts w:ascii="Times New Roman" w:eastAsia="仿宋_GB2312" w:hAnsi="Times New Roman" w:cs="Times New Roman"/>
          <w:bCs/>
          <w:sz w:val="32"/>
          <w:szCs w:val="32"/>
        </w:rPr>
        <w:t>60%</w:t>
      </w:r>
      <w:r w:rsidR="0045416B">
        <w:rPr>
          <w:rFonts w:ascii="Times New Roman" w:eastAsia="仿宋_GB2312" w:hAnsi="Times New Roman" w:cs="Times New Roman"/>
          <w:sz w:val="32"/>
          <w:szCs w:val="32"/>
        </w:rPr>
        <w:t>。</w:t>
      </w:r>
    </w:p>
    <w:p w:rsidR="0045416B" w:rsidRDefault="0045416B" w:rsidP="0045416B">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）实际监管率</w:t>
      </w:r>
    </w:p>
    <w:p w:rsidR="0045416B" w:rsidRPr="0045416B" w:rsidRDefault="0045416B" w:rsidP="00A94BBF">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实际监管率</w:t>
      </w:r>
      <w:r w:rsidR="00A94BBF">
        <w:rPr>
          <w:rFonts w:ascii="Times New Roman" w:eastAsia="仿宋_GB2312" w:hAnsi="Times New Roman" w:cs="Times New Roman"/>
          <w:bCs/>
          <w:sz w:val="32"/>
          <w:szCs w:val="32"/>
        </w:rPr>
        <w:t>按年度进行考核</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基础比率为</w:t>
      </w:r>
      <w:r>
        <w:rPr>
          <w:rFonts w:ascii="Times New Roman" w:eastAsia="仿宋_GB2312" w:hAnsi="Times New Roman" w:cs="Times New Roman"/>
          <w:bCs/>
          <w:sz w:val="32"/>
          <w:szCs w:val="32"/>
        </w:rPr>
        <w:t>90%</w:t>
      </w:r>
      <w:r>
        <w:rPr>
          <w:rFonts w:ascii="Times New Roman" w:eastAsia="仿宋_GB2312" w:hAnsi="Times New Roman" w:cs="Times New Roman"/>
          <w:sz w:val="32"/>
          <w:szCs w:val="32"/>
        </w:rPr>
        <w:t>。</w:t>
      </w:r>
    </w:p>
    <w:p w:rsidR="00F80671" w:rsidRPr="000D06D6" w:rsidRDefault="00F80671" w:rsidP="008F3845">
      <w:pPr>
        <w:spacing w:after="0" w:line="360" w:lineRule="auto"/>
        <w:ind w:firstLineChars="200" w:firstLine="640"/>
        <w:jc w:val="both"/>
        <w:rPr>
          <w:rFonts w:ascii="黑体" w:eastAsia="黑体" w:hAnsi="黑体"/>
          <w:sz w:val="32"/>
          <w:szCs w:val="32"/>
        </w:rPr>
      </w:pPr>
      <w:r w:rsidRPr="00F80671">
        <w:rPr>
          <w:rFonts w:ascii="黑体" w:eastAsia="黑体" w:hAnsi="黑体" w:hint="eastAsia"/>
          <w:sz w:val="32"/>
          <w:szCs w:val="32"/>
        </w:rPr>
        <w:t>二、审</w:t>
      </w:r>
      <w:r w:rsidRPr="000D06D6">
        <w:rPr>
          <w:rFonts w:ascii="黑体" w:eastAsia="黑体" w:hAnsi="黑体" w:hint="eastAsia"/>
          <w:sz w:val="32"/>
          <w:szCs w:val="32"/>
        </w:rPr>
        <w:t>判质量</w:t>
      </w:r>
    </w:p>
    <w:p w:rsidR="00B03DEE" w:rsidRPr="000D06D6" w:rsidRDefault="0045416B" w:rsidP="00B03DEE">
      <w:pPr>
        <w:spacing w:after="0" w:line="360" w:lineRule="auto"/>
        <w:ind w:firstLineChars="200" w:firstLine="643"/>
        <w:jc w:val="both"/>
        <w:rPr>
          <w:rFonts w:asciiTheme="majorEastAsia" w:eastAsiaTheme="majorEastAsia" w:hAnsiTheme="majorEastAsia"/>
          <w:b/>
          <w:sz w:val="32"/>
          <w:szCs w:val="32"/>
        </w:rPr>
      </w:pPr>
      <w:r w:rsidRPr="002534E5">
        <w:rPr>
          <w:rFonts w:asciiTheme="majorEastAsia" w:eastAsiaTheme="majorEastAsia" w:hAnsiTheme="majorEastAsia" w:hint="eastAsia"/>
          <w:b/>
          <w:sz w:val="32"/>
          <w:szCs w:val="32"/>
        </w:rPr>
        <w:t>（十）</w:t>
      </w:r>
      <w:r w:rsidR="00B03DEE" w:rsidRPr="000D06D6">
        <w:rPr>
          <w:rFonts w:asciiTheme="majorEastAsia" w:eastAsiaTheme="majorEastAsia" w:hAnsiTheme="majorEastAsia" w:hint="eastAsia"/>
          <w:b/>
          <w:sz w:val="32"/>
          <w:szCs w:val="32"/>
        </w:rPr>
        <w:t>服判息诉率情况</w:t>
      </w:r>
    </w:p>
    <w:p w:rsidR="0045416B" w:rsidRPr="00B03DEE" w:rsidRDefault="00B03DEE" w:rsidP="00B03DEE">
      <w:pPr>
        <w:spacing w:after="0" w:line="360" w:lineRule="auto"/>
        <w:ind w:firstLineChars="250" w:firstLine="800"/>
        <w:jc w:val="both"/>
        <w:rPr>
          <w:rFonts w:ascii="仿宋" w:eastAsia="仿宋" w:hAnsi="仿宋"/>
          <w:sz w:val="32"/>
          <w:szCs w:val="32"/>
        </w:rPr>
      </w:pPr>
      <w:r>
        <w:rPr>
          <w:rFonts w:ascii="仿宋" w:eastAsia="仿宋" w:hAnsi="仿宋" w:hint="eastAsia"/>
          <w:sz w:val="32"/>
          <w:szCs w:val="32"/>
        </w:rPr>
        <w:lastRenderedPageBreak/>
        <w:t>2021年第一季度</w:t>
      </w:r>
      <w:r w:rsidRPr="000D06D6">
        <w:rPr>
          <w:rFonts w:ascii="仿宋" w:eastAsia="仿宋" w:hAnsi="仿宋" w:hint="eastAsia"/>
          <w:sz w:val="32"/>
          <w:szCs w:val="32"/>
        </w:rPr>
        <w:t>上诉案件</w:t>
      </w:r>
      <w:r>
        <w:rPr>
          <w:rFonts w:ascii="仿宋" w:eastAsia="仿宋" w:hAnsi="仿宋" w:hint="eastAsia"/>
          <w:sz w:val="32"/>
          <w:szCs w:val="32"/>
        </w:rPr>
        <w:t>0</w:t>
      </w:r>
      <w:r w:rsidRPr="000D06D6">
        <w:rPr>
          <w:rFonts w:ascii="仿宋" w:eastAsia="仿宋" w:hAnsi="仿宋" w:hint="eastAsia"/>
          <w:sz w:val="32"/>
          <w:szCs w:val="32"/>
        </w:rPr>
        <w:t>件，一审案件服判息诉率</w:t>
      </w:r>
      <w:r>
        <w:rPr>
          <w:rFonts w:ascii="仿宋" w:eastAsia="仿宋" w:hAnsi="仿宋" w:hint="eastAsia"/>
          <w:sz w:val="32"/>
          <w:szCs w:val="32"/>
        </w:rPr>
        <w:t>100.00</w:t>
      </w:r>
      <w:r w:rsidRPr="000D06D6">
        <w:rPr>
          <w:rFonts w:ascii="仿宋" w:eastAsia="仿宋" w:hAnsi="仿宋" w:hint="eastAsia"/>
          <w:sz w:val="32"/>
          <w:szCs w:val="32"/>
        </w:rPr>
        <w:t>%，</w:t>
      </w:r>
      <w:r>
        <w:rPr>
          <w:rFonts w:ascii="仿宋" w:eastAsia="仿宋" w:hAnsi="仿宋" w:hint="eastAsia"/>
          <w:sz w:val="32"/>
          <w:szCs w:val="32"/>
        </w:rPr>
        <w:t>该项指标按年度考核，</w:t>
      </w:r>
      <w:r>
        <w:rPr>
          <w:rFonts w:ascii="Times New Roman" w:eastAsia="仿宋_GB2312" w:hAnsi="Times New Roman" w:cs="Times New Roman"/>
          <w:kern w:val="21"/>
          <w:sz w:val="32"/>
          <w:szCs w:val="32"/>
        </w:rPr>
        <w:t>基础分值为</w:t>
      </w:r>
      <w:r>
        <w:rPr>
          <w:rFonts w:ascii="Times New Roman" w:eastAsia="仿宋_GB2312" w:hAnsi="Times New Roman" w:cs="Times New Roman"/>
          <w:kern w:val="21"/>
          <w:sz w:val="32"/>
          <w:szCs w:val="32"/>
        </w:rPr>
        <w:t>4</w:t>
      </w:r>
      <w:r>
        <w:rPr>
          <w:rFonts w:ascii="Times New Roman" w:eastAsia="仿宋_GB2312" w:hAnsi="Times New Roman" w:cs="Times New Roman"/>
          <w:kern w:val="21"/>
          <w:sz w:val="32"/>
          <w:szCs w:val="32"/>
        </w:rPr>
        <w:t>分，基础比率设定为</w:t>
      </w:r>
      <w:r>
        <w:rPr>
          <w:rFonts w:ascii="Times New Roman" w:eastAsia="仿宋_GB2312" w:hAnsi="Times New Roman" w:cs="Times New Roman"/>
          <w:kern w:val="21"/>
          <w:sz w:val="32"/>
          <w:szCs w:val="32"/>
        </w:rPr>
        <w:t>94.5%</w:t>
      </w:r>
      <w:r w:rsidRPr="000D06D6">
        <w:rPr>
          <w:rFonts w:ascii="仿宋" w:eastAsia="仿宋" w:hAnsi="仿宋" w:hint="eastAsia"/>
          <w:sz w:val="32"/>
          <w:szCs w:val="32"/>
        </w:rPr>
        <w:t>。</w:t>
      </w:r>
    </w:p>
    <w:p w:rsidR="006F22F7" w:rsidRDefault="00AE6944" w:rsidP="00B03DEE">
      <w:pPr>
        <w:spacing w:after="0" w:line="360" w:lineRule="auto"/>
        <w:ind w:firstLineChars="200" w:firstLine="643"/>
        <w:jc w:val="both"/>
        <w:rPr>
          <w:rFonts w:asciiTheme="majorEastAsia" w:eastAsiaTheme="majorEastAsia" w:hAnsiTheme="majorEastAsia"/>
          <w:b/>
          <w:sz w:val="32"/>
          <w:szCs w:val="32"/>
        </w:rPr>
      </w:pPr>
      <w:r w:rsidRPr="000D06D6">
        <w:rPr>
          <w:rFonts w:asciiTheme="majorEastAsia" w:eastAsiaTheme="majorEastAsia" w:hAnsiTheme="majorEastAsia" w:hint="eastAsia"/>
          <w:b/>
          <w:sz w:val="32"/>
          <w:szCs w:val="32"/>
        </w:rPr>
        <w:t>（</w:t>
      </w:r>
      <w:r w:rsidR="000725B7" w:rsidRPr="000D06D6">
        <w:rPr>
          <w:rFonts w:asciiTheme="majorEastAsia" w:eastAsiaTheme="majorEastAsia" w:hAnsiTheme="majorEastAsia" w:hint="eastAsia"/>
          <w:b/>
          <w:sz w:val="32"/>
          <w:szCs w:val="32"/>
        </w:rPr>
        <w:t>十一</w:t>
      </w:r>
      <w:r w:rsidRPr="000D06D6">
        <w:rPr>
          <w:rFonts w:asciiTheme="majorEastAsia" w:eastAsiaTheme="majorEastAsia" w:hAnsiTheme="majorEastAsia" w:hint="eastAsia"/>
          <w:b/>
          <w:sz w:val="32"/>
          <w:szCs w:val="32"/>
        </w:rPr>
        <w:t>）</w:t>
      </w:r>
      <w:r w:rsidR="00B03DEE" w:rsidRPr="00B03DEE">
        <w:rPr>
          <w:rFonts w:asciiTheme="majorEastAsia" w:eastAsiaTheme="majorEastAsia" w:hAnsiTheme="majorEastAsia"/>
          <w:b/>
          <w:sz w:val="32"/>
          <w:szCs w:val="32"/>
        </w:rPr>
        <w:t>生效案件服判息诉</w:t>
      </w:r>
      <w:r w:rsidR="00B03DEE">
        <w:rPr>
          <w:rFonts w:asciiTheme="majorEastAsia" w:eastAsiaTheme="majorEastAsia" w:hAnsiTheme="majorEastAsia"/>
          <w:b/>
          <w:sz w:val="32"/>
          <w:szCs w:val="32"/>
        </w:rPr>
        <w:t>情况</w:t>
      </w:r>
    </w:p>
    <w:p w:rsidR="00B03DEE" w:rsidRPr="000D06D6" w:rsidRDefault="00B03DEE" w:rsidP="00B03DEE">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2021年第一季度生效</w:t>
      </w:r>
      <w:r w:rsidRPr="000D06D6">
        <w:rPr>
          <w:rFonts w:ascii="仿宋" w:eastAsia="仿宋" w:hAnsi="仿宋" w:hint="eastAsia"/>
          <w:sz w:val="32"/>
          <w:szCs w:val="32"/>
        </w:rPr>
        <w:t>案件服判息诉率</w:t>
      </w:r>
      <w:r>
        <w:rPr>
          <w:rFonts w:ascii="仿宋" w:eastAsia="仿宋" w:hAnsi="仿宋" w:hint="eastAsia"/>
          <w:sz w:val="32"/>
          <w:szCs w:val="32"/>
        </w:rPr>
        <w:t>100.00</w:t>
      </w:r>
      <w:r w:rsidRPr="000D06D6">
        <w:rPr>
          <w:rFonts w:ascii="仿宋" w:eastAsia="仿宋" w:hAnsi="仿宋" w:hint="eastAsia"/>
          <w:sz w:val="32"/>
          <w:szCs w:val="32"/>
        </w:rPr>
        <w:t>%，</w:t>
      </w:r>
      <w:r>
        <w:rPr>
          <w:rFonts w:ascii="仿宋" w:eastAsia="仿宋" w:hAnsi="仿宋" w:hint="eastAsia"/>
          <w:sz w:val="32"/>
          <w:szCs w:val="32"/>
        </w:rPr>
        <w:t>该项指标按年度考核，</w:t>
      </w:r>
      <w:r>
        <w:rPr>
          <w:rFonts w:ascii="Times New Roman" w:eastAsia="仿宋_GB2312" w:hAnsi="Times New Roman" w:cs="Times New Roman"/>
          <w:kern w:val="21"/>
          <w:sz w:val="32"/>
          <w:szCs w:val="32"/>
        </w:rPr>
        <w:t>基础分值为</w:t>
      </w:r>
      <w:r>
        <w:rPr>
          <w:rFonts w:ascii="Times New Roman" w:eastAsia="仿宋_GB2312" w:hAnsi="Times New Roman" w:cs="Times New Roman"/>
          <w:kern w:val="21"/>
          <w:sz w:val="32"/>
          <w:szCs w:val="32"/>
        </w:rPr>
        <w:t>4</w:t>
      </w:r>
      <w:r>
        <w:rPr>
          <w:rFonts w:ascii="Times New Roman" w:eastAsia="仿宋_GB2312" w:hAnsi="Times New Roman" w:cs="Times New Roman"/>
          <w:kern w:val="21"/>
          <w:sz w:val="32"/>
          <w:szCs w:val="32"/>
        </w:rPr>
        <w:t>分，基础比率设定为</w:t>
      </w:r>
      <w:r>
        <w:rPr>
          <w:rFonts w:ascii="Times New Roman" w:eastAsia="仿宋_GB2312" w:hAnsi="Times New Roman" w:cs="Times New Roman" w:hint="eastAsia"/>
          <w:kern w:val="21"/>
          <w:sz w:val="32"/>
          <w:szCs w:val="32"/>
        </w:rPr>
        <w:t>97.5</w:t>
      </w:r>
      <w:r>
        <w:rPr>
          <w:rFonts w:ascii="Times New Roman" w:eastAsia="仿宋_GB2312" w:hAnsi="Times New Roman" w:cs="Times New Roman"/>
          <w:kern w:val="21"/>
          <w:sz w:val="32"/>
          <w:szCs w:val="32"/>
        </w:rPr>
        <w:t>%</w:t>
      </w:r>
      <w:r w:rsidRPr="000D06D6">
        <w:rPr>
          <w:rFonts w:ascii="仿宋" w:eastAsia="仿宋" w:hAnsi="仿宋" w:hint="eastAsia"/>
          <w:sz w:val="32"/>
          <w:szCs w:val="32"/>
        </w:rPr>
        <w:t>。</w:t>
      </w:r>
    </w:p>
    <w:p w:rsidR="006F22F7" w:rsidRPr="00F80671" w:rsidRDefault="00AE6944" w:rsidP="00F80671">
      <w:pPr>
        <w:spacing w:after="0" w:line="360" w:lineRule="auto"/>
        <w:ind w:firstLineChars="200" w:firstLine="643"/>
        <w:jc w:val="both"/>
        <w:rPr>
          <w:rFonts w:asciiTheme="majorEastAsia" w:eastAsiaTheme="majorEastAsia" w:hAnsiTheme="majorEastAsia"/>
          <w:b/>
          <w:sz w:val="32"/>
          <w:szCs w:val="32"/>
        </w:rPr>
      </w:pPr>
      <w:r w:rsidRPr="00F80671">
        <w:rPr>
          <w:rFonts w:asciiTheme="majorEastAsia" w:eastAsiaTheme="majorEastAsia" w:hAnsiTheme="majorEastAsia" w:hint="eastAsia"/>
          <w:b/>
          <w:sz w:val="32"/>
          <w:szCs w:val="32"/>
        </w:rPr>
        <w:t>（</w:t>
      </w:r>
      <w:r w:rsidR="000725B7">
        <w:rPr>
          <w:rFonts w:asciiTheme="majorEastAsia" w:eastAsiaTheme="majorEastAsia" w:hAnsiTheme="majorEastAsia" w:hint="eastAsia"/>
          <w:b/>
          <w:sz w:val="32"/>
          <w:szCs w:val="32"/>
        </w:rPr>
        <w:t>十二</w:t>
      </w:r>
      <w:r w:rsidRPr="00F80671">
        <w:rPr>
          <w:rFonts w:asciiTheme="majorEastAsia" w:eastAsiaTheme="majorEastAsia" w:hAnsiTheme="majorEastAsia" w:hint="eastAsia"/>
          <w:b/>
          <w:sz w:val="32"/>
          <w:szCs w:val="32"/>
        </w:rPr>
        <w:t>）</w:t>
      </w:r>
      <w:r w:rsidR="00B168B4">
        <w:rPr>
          <w:rFonts w:asciiTheme="majorEastAsia" w:eastAsiaTheme="majorEastAsia" w:hAnsiTheme="majorEastAsia" w:hint="eastAsia"/>
          <w:b/>
          <w:sz w:val="32"/>
          <w:szCs w:val="32"/>
        </w:rPr>
        <w:t>2021年第一季度</w:t>
      </w:r>
      <w:r w:rsidRPr="00F80671">
        <w:rPr>
          <w:rFonts w:asciiTheme="majorEastAsia" w:eastAsiaTheme="majorEastAsia" w:hAnsiTheme="majorEastAsia" w:hint="eastAsia"/>
          <w:b/>
          <w:sz w:val="32"/>
          <w:szCs w:val="32"/>
        </w:rPr>
        <w:t>一审案件上诉被改判、发回重审率情况</w:t>
      </w:r>
    </w:p>
    <w:p w:rsidR="006F22F7" w:rsidRDefault="00AE6944" w:rsidP="00B03921">
      <w:pPr>
        <w:spacing w:after="0" w:line="360" w:lineRule="auto"/>
        <w:ind w:firstLineChars="250" w:firstLine="800"/>
        <w:jc w:val="both"/>
        <w:rPr>
          <w:rFonts w:ascii="仿宋" w:eastAsia="仿宋" w:hAnsi="仿宋"/>
          <w:color w:val="FF0000"/>
          <w:sz w:val="32"/>
          <w:szCs w:val="32"/>
        </w:rPr>
      </w:pPr>
      <w:r>
        <w:rPr>
          <w:rFonts w:ascii="仿宋" w:eastAsia="仿宋" w:hAnsi="仿宋" w:hint="eastAsia"/>
          <w:sz w:val="32"/>
          <w:szCs w:val="32"/>
        </w:rPr>
        <w:t>一审</w:t>
      </w:r>
      <w:r w:rsidR="00176463">
        <w:rPr>
          <w:rFonts w:ascii="仿宋" w:eastAsia="仿宋" w:hAnsi="仿宋" w:hint="eastAsia"/>
          <w:sz w:val="32"/>
          <w:szCs w:val="32"/>
        </w:rPr>
        <w:t>已结</w:t>
      </w:r>
      <w:r w:rsidR="00B03DEE">
        <w:rPr>
          <w:rFonts w:ascii="仿宋" w:eastAsia="仿宋" w:hAnsi="仿宋" w:hint="eastAsia"/>
          <w:sz w:val="32"/>
          <w:szCs w:val="32"/>
        </w:rPr>
        <w:t>14</w:t>
      </w:r>
      <w:r w:rsidR="00CC3639">
        <w:rPr>
          <w:rFonts w:ascii="仿宋" w:eastAsia="仿宋" w:hAnsi="仿宋" w:hint="eastAsia"/>
          <w:sz w:val="32"/>
          <w:szCs w:val="32"/>
        </w:rPr>
        <w:t>件，</w:t>
      </w:r>
      <w:r w:rsidR="0020796D">
        <w:rPr>
          <w:rFonts w:ascii="仿宋" w:eastAsia="仿宋" w:hAnsi="仿宋" w:hint="eastAsia"/>
          <w:sz w:val="32"/>
          <w:szCs w:val="32"/>
        </w:rPr>
        <w:t>上诉</w:t>
      </w:r>
      <w:r w:rsidR="00B03DEE">
        <w:rPr>
          <w:rFonts w:ascii="仿宋" w:eastAsia="仿宋" w:hAnsi="仿宋" w:hint="eastAsia"/>
          <w:sz w:val="32"/>
          <w:szCs w:val="32"/>
        </w:rPr>
        <w:t>0</w:t>
      </w:r>
      <w:r w:rsidR="0020796D">
        <w:rPr>
          <w:rFonts w:ascii="仿宋" w:eastAsia="仿宋" w:hAnsi="仿宋" w:hint="eastAsia"/>
          <w:sz w:val="32"/>
          <w:szCs w:val="32"/>
        </w:rPr>
        <w:t>件，</w:t>
      </w:r>
      <w:r w:rsidR="008E1524">
        <w:rPr>
          <w:rFonts w:ascii="仿宋" w:eastAsia="仿宋" w:hAnsi="仿宋" w:hint="eastAsia"/>
          <w:sz w:val="32"/>
          <w:szCs w:val="32"/>
        </w:rPr>
        <w:t>无</w:t>
      </w:r>
      <w:r w:rsidR="0020796D" w:rsidRPr="0020796D">
        <w:rPr>
          <w:rFonts w:ascii="仿宋" w:eastAsia="仿宋" w:hAnsi="仿宋" w:hint="eastAsia"/>
          <w:sz w:val="32"/>
          <w:szCs w:val="32"/>
        </w:rPr>
        <w:t>被</w:t>
      </w:r>
      <w:r w:rsidR="002E6E22">
        <w:rPr>
          <w:rFonts w:ascii="仿宋" w:eastAsia="仿宋" w:hAnsi="仿宋" w:hint="eastAsia"/>
          <w:sz w:val="32"/>
          <w:szCs w:val="32"/>
        </w:rPr>
        <w:t>二审</w:t>
      </w:r>
      <w:r w:rsidR="0020796D" w:rsidRPr="0020796D">
        <w:rPr>
          <w:rFonts w:ascii="仿宋" w:eastAsia="仿宋" w:hAnsi="仿宋" w:hint="eastAsia"/>
          <w:sz w:val="32"/>
          <w:szCs w:val="32"/>
        </w:rPr>
        <w:t>改判、发回重审</w:t>
      </w:r>
      <w:r w:rsidR="0020796D">
        <w:rPr>
          <w:rFonts w:ascii="仿宋" w:eastAsia="仿宋" w:hAnsi="仿宋" w:hint="eastAsia"/>
          <w:sz w:val="32"/>
          <w:szCs w:val="32"/>
        </w:rPr>
        <w:t>和指令再审</w:t>
      </w:r>
      <w:r w:rsidR="008E1524">
        <w:rPr>
          <w:rFonts w:ascii="仿宋" w:eastAsia="仿宋" w:hAnsi="仿宋" w:hint="eastAsia"/>
          <w:sz w:val="32"/>
          <w:szCs w:val="32"/>
        </w:rPr>
        <w:t>案</w:t>
      </w:r>
      <w:r w:rsidR="005B3C68">
        <w:rPr>
          <w:rFonts w:ascii="仿宋" w:eastAsia="仿宋" w:hAnsi="仿宋" w:hint="eastAsia"/>
          <w:sz w:val="32"/>
          <w:szCs w:val="32"/>
        </w:rPr>
        <w:t>件</w:t>
      </w:r>
      <w:r>
        <w:rPr>
          <w:rFonts w:ascii="仿宋" w:eastAsia="仿宋" w:hAnsi="仿宋" w:hint="eastAsia"/>
          <w:sz w:val="32"/>
          <w:szCs w:val="32"/>
        </w:rPr>
        <w:t>。</w:t>
      </w:r>
    </w:p>
    <w:p w:rsidR="006F22F7" w:rsidRPr="00F80671" w:rsidRDefault="00AE6944" w:rsidP="00F80671">
      <w:pPr>
        <w:spacing w:after="0" w:line="360" w:lineRule="auto"/>
        <w:ind w:firstLineChars="200" w:firstLine="643"/>
        <w:jc w:val="both"/>
        <w:rPr>
          <w:rFonts w:asciiTheme="majorEastAsia" w:eastAsiaTheme="majorEastAsia" w:hAnsiTheme="majorEastAsia"/>
          <w:b/>
          <w:color w:val="FF0000"/>
          <w:sz w:val="28"/>
          <w:szCs w:val="28"/>
        </w:rPr>
      </w:pPr>
      <w:r w:rsidRPr="00F80671">
        <w:rPr>
          <w:rFonts w:asciiTheme="majorEastAsia" w:eastAsiaTheme="majorEastAsia" w:hAnsiTheme="majorEastAsia" w:hint="eastAsia"/>
          <w:b/>
          <w:sz w:val="32"/>
          <w:szCs w:val="32"/>
        </w:rPr>
        <w:t>（</w:t>
      </w:r>
      <w:r w:rsidR="000725B7">
        <w:rPr>
          <w:rFonts w:asciiTheme="majorEastAsia" w:eastAsiaTheme="majorEastAsia" w:hAnsiTheme="majorEastAsia" w:hint="eastAsia"/>
          <w:b/>
          <w:sz w:val="32"/>
          <w:szCs w:val="32"/>
        </w:rPr>
        <w:t>十三</w:t>
      </w:r>
      <w:r w:rsidRPr="00F80671">
        <w:rPr>
          <w:rFonts w:asciiTheme="majorEastAsia" w:eastAsiaTheme="majorEastAsia" w:hAnsiTheme="majorEastAsia" w:hint="eastAsia"/>
          <w:b/>
          <w:sz w:val="32"/>
          <w:szCs w:val="32"/>
        </w:rPr>
        <w:t>）生效案件再审被改判、发回重审率情况</w:t>
      </w:r>
    </w:p>
    <w:p w:rsidR="006F22F7" w:rsidRDefault="00B168B4" w:rsidP="00B03921">
      <w:pPr>
        <w:spacing w:after="0" w:line="360" w:lineRule="auto"/>
        <w:ind w:firstLineChars="250" w:firstLine="800"/>
        <w:jc w:val="both"/>
        <w:rPr>
          <w:rFonts w:ascii="仿宋" w:eastAsia="仿宋" w:hAnsi="仿宋"/>
          <w:sz w:val="32"/>
          <w:szCs w:val="32"/>
        </w:rPr>
      </w:pPr>
      <w:r>
        <w:rPr>
          <w:rFonts w:ascii="仿宋" w:eastAsia="仿宋" w:hAnsi="仿宋" w:hint="eastAsia"/>
          <w:sz w:val="32"/>
          <w:szCs w:val="32"/>
        </w:rPr>
        <w:t>2021年第一季度</w:t>
      </w:r>
      <w:r w:rsidR="00B03DEE">
        <w:rPr>
          <w:rFonts w:ascii="仿宋" w:eastAsia="仿宋" w:hAnsi="仿宋" w:hint="eastAsia"/>
          <w:sz w:val="32"/>
          <w:szCs w:val="32"/>
        </w:rPr>
        <w:t>无生效案件再审被改判、发回重审案件</w:t>
      </w:r>
      <w:r w:rsidR="00AE6944">
        <w:rPr>
          <w:rFonts w:ascii="仿宋" w:eastAsia="仿宋" w:hAnsi="仿宋" w:hint="eastAsia"/>
          <w:sz w:val="32"/>
          <w:szCs w:val="32"/>
        </w:rPr>
        <w:t>。</w:t>
      </w:r>
    </w:p>
    <w:p w:rsidR="00B03DEE" w:rsidRDefault="00F80671" w:rsidP="00047075">
      <w:pPr>
        <w:spacing w:after="0" w:line="360" w:lineRule="auto"/>
        <w:ind w:firstLine="630"/>
        <w:jc w:val="both"/>
        <w:rPr>
          <w:rFonts w:asciiTheme="majorEastAsia" w:eastAsiaTheme="majorEastAsia" w:hAnsiTheme="majorEastAsia"/>
          <w:b/>
          <w:sz w:val="32"/>
          <w:szCs w:val="32"/>
        </w:rPr>
      </w:pPr>
      <w:r w:rsidRPr="00F80671">
        <w:rPr>
          <w:rFonts w:asciiTheme="majorEastAsia" w:eastAsiaTheme="majorEastAsia" w:hAnsiTheme="majorEastAsia" w:hint="eastAsia"/>
          <w:b/>
          <w:sz w:val="32"/>
          <w:szCs w:val="32"/>
        </w:rPr>
        <w:t>（</w:t>
      </w:r>
      <w:r w:rsidR="000725B7">
        <w:rPr>
          <w:rFonts w:asciiTheme="majorEastAsia" w:eastAsiaTheme="majorEastAsia" w:hAnsiTheme="majorEastAsia" w:hint="eastAsia"/>
          <w:b/>
          <w:sz w:val="32"/>
          <w:szCs w:val="32"/>
        </w:rPr>
        <w:t>十四</w:t>
      </w:r>
      <w:r w:rsidR="00AE6944" w:rsidRPr="00F80671">
        <w:rPr>
          <w:rFonts w:asciiTheme="majorEastAsia" w:eastAsiaTheme="majorEastAsia" w:hAnsiTheme="majorEastAsia" w:hint="eastAsia"/>
          <w:b/>
          <w:sz w:val="32"/>
          <w:szCs w:val="32"/>
        </w:rPr>
        <w:t>）</w:t>
      </w:r>
      <w:r w:rsidR="004F1C43">
        <w:rPr>
          <w:rFonts w:asciiTheme="majorEastAsia" w:eastAsiaTheme="majorEastAsia" w:hAnsiTheme="majorEastAsia" w:hint="eastAsia"/>
          <w:b/>
          <w:sz w:val="32"/>
          <w:szCs w:val="32"/>
        </w:rPr>
        <w:t>其他指标情况（加分项</w:t>
      </w:r>
      <w:r w:rsidR="00A94BBF">
        <w:rPr>
          <w:rFonts w:asciiTheme="majorEastAsia" w:eastAsiaTheme="majorEastAsia" w:hAnsiTheme="majorEastAsia" w:hint="eastAsia"/>
          <w:b/>
          <w:sz w:val="32"/>
          <w:szCs w:val="32"/>
        </w:rPr>
        <w:t>5分</w:t>
      </w:r>
      <w:r w:rsidR="004F1C43">
        <w:rPr>
          <w:rFonts w:asciiTheme="majorEastAsia" w:eastAsiaTheme="majorEastAsia" w:hAnsiTheme="majorEastAsia" w:hint="eastAsia"/>
          <w:b/>
          <w:sz w:val="32"/>
          <w:szCs w:val="32"/>
        </w:rPr>
        <w:t>）</w:t>
      </w:r>
    </w:p>
    <w:p w:rsidR="00047075" w:rsidRDefault="00047075" w:rsidP="00047075">
      <w:pPr>
        <w:spacing w:after="0" w:line="360" w:lineRule="auto"/>
        <w:ind w:firstLine="630"/>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1</w:t>
      </w:r>
      <w:r>
        <w:rPr>
          <w:rFonts w:ascii="仿宋" w:eastAsia="仿宋" w:hAnsi="仿宋"/>
          <w:sz w:val="32"/>
          <w:szCs w:val="32"/>
        </w:rPr>
        <w:t>）人均结案数</w:t>
      </w:r>
    </w:p>
    <w:p w:rsidR="00047075" w:rsidRDefault="00047075" w:rsidP="00047075">
      <w:pPr>
        <w:spacing w:after="0" w:line="360" w:lineRule="auto"/>
        <w:ind w:firstLine="630"/>
        <w:jc w:val="both"/>
        <w:rPr>
          <w:rFonts w:ascii="Times New Roman" w:eastAsia="仿宋_GB2312" w:hAnsi="Times New Roman" w:cs="Times New Roman"/>
          <w:bCs/>
          <w:kern w:val="21"/>
          <w:sz w:val="32"/>
          <w:szCs w:val="32"/>
        </w:rPr>
      </w:pPr>
      <w:r>
        <w:rPr>
          <w:rFonts w:ascii="Times New Roman" w:eastAsia="仿宋_GB2312" w:hAnsi="Times New Roman" w:cs="Times New Roman"/>
          <w:bCs/>
          <w:kern w:val="21"/>
          <w:sz w:val="32"/>
          <w:szCs w:val="32"/>
        </w:rPr>
        <w:t>按年度考核，年度人均结案数高于全省平均值的给予加分。</w:t>
      </w:r>
    </w:p>
    <w:p w:rsidR="00047075" w:rsidRDefault="00047075" w:rsidP="00047075">
      <w:pPr>
        <w:spacing w:after="0" w:line="360" w:lineRule="auto"/>
        <w:ind w:firstLine="630"/>
        <w:jc w:val="both"/>
        <w:rPr>
          <w:rFonts w:ascii="Times New Roman" w:eastAsia="仿宋_GB2312" w:hAnsi="Times New Roman" w:cs="Times New Roman"/>
          <w:bCs/>
          <w:kern w:val="21"/>
          <w:sz w:val="32"/>
          <w:szCs w:val="32"/>
        </w:rPr>
      </w:pPr>
      <w:r>
        <w:rPr>
          <w:rFonts w:ascii="Times New Roman" w:eastAsia="仿宋_GB2312" w:hAnsi="Times New Roman" w:cs="Times New Roman" w:hint="eastAsia"/>
          <w:bCs/>
          <w:kern w:val="21"/>
          <w:sz w:val="32"/>
          <w:szCs w:val="32"/>
        </w:rPr>
        <w:t>（</w:t>
      </w:r>
      <w:r>
        <w:rPr>
          <w:rFonts w:ascii="Times New Roman" w:eastAsia="仿宋_GB2312" w:hAnsi="Times New Roman" w:cs="Times New Roman" w:hint="eastAsia"/>
          <w:bCs/>
          <w:kern w:val="21"/>
          <w:sz w:val="32"/>
          <w:szCs w:val="32"/>
        </w:rPr>
        <w:t>2</w:t>
      </w:r>
      <w:r>
        <w:rPr>
          <w:rFonts w:ascii="Times New Roman" w:eastAsia="仿宋_GB2312" w:hAnsi="Times New Roman" w:cs="Times New Roman" w:hint="eastAsia"/>
          <w:bCs/>
          <w:kern w:val="21"/>
          <w:sz w:val="32"/>
          <w:szCs w:val="32"/>
        </w:rPr>
        <w:t>）</w:t>
      </w:r>
      <w:r w:rsidRPr="00047075">
        <w:rPr>
          <w:rFonts w:ascii="Times New Roman" w:eastAsia="仿宋_GB2312" w:hAnsi="Times New Roman" w:cs="Times New Roman" w:hint="eastAsia"/>
          <w:bCs/>
          <w:kern w:val="21"/>
          <w:sz w:val="32"/>
          <w:szCs w:val="32"/>
        </w:rPr>
        <w:t>诉讼案件平均审理天数</w:t>
      </w:r>
    </w:p>
    <w:p w:rsidR="00047075" w:rsidRDefault="004F1C43" w:rsidP="00047075">
      <w:pPr>
        <w:spacing w:after="0" w:line="360" w:lineRule="auto"/>
        <w:ind w:firstLine="630"/>
        <w:jc w:val="both"/>
        <w:rPr>
          <w:rFonts w:ascii="Times New Roman" w:eastAsia="仿宋_GB2312" w:hAnsi="Times New Roman" w:cs="Times New Roman"/>
          <w:kern w:val="21"/>
          <w:sz w:val="32"/>
          <w:szCs w:val="32"/>
        </w:rPr>
      </w:pPr>
      <w:r>
        <w:rPr>
          <w:rFonts w:ascii="仿宋" w:eastAsia="仿宋" w:hAnsi="仿宋" w:hint="eastAsia"/>
          <w:sz w:val="32"/>
          <w:szCs w:val="32"/>
        </w:rPr>
        <w:t>2021年第一季度诉讼案件平均审理天数为5.9天，</w:t>
      </w:r>
      <w:r w:rsidR="00047075">
        <w:rPr>
          <w:rFonts w:ascii="Times New Roman" w:eastAsia="仿宋_GB2312" w:hAnsi="Times New Roman" w:cs="Times New Roman"/>
          <w:kern w:val="21"/>
          <w:sz w:val="32"/>
          <w:szCs w:val="32"/>
        </w:rPr>
        <w:t>按年度考核，年度诉讼案件平均审理天数低于全省平均值的给予加分。</w:t>
      </w:r>
    </w:p>
    <w:p w:rsidR="004F1C43" w:rsidRDefault="00047075" w:rsidP="00047075">
      <w:pPr>
        <w:spacing w:after="0" w:line="360" w:lineRule="auto"/>
        <w:ind w:firstLine="630"/>
        <w:jc w:val="both"/>
        <w:rPr>
          <w:rFonts w:ascii="Times New Roman" w:eastAsia="仿宋_GB2312" w:hAnsi="Times New Roman" w:cs="Times New Roman"/>
          <w:kern w:val="21"/>
          <w:sz w:val="32"/>
          <w:szCs w:val="32"/>
        </w:rPr>
      </w:pPr>
      <w:r>
        <w:rPr>
          <w:rFonts w:ascii="Times New Roman" w:eastAsia="仿宋_GB2312" w:hAnsi="Times New Roman" w:cs="Times New Roman" w:hint="eastAsia"/>
          <w:kern w:val="21"/>
          <w:sz w:val="32"/>
          <w:szCs w:val="32"/>
        </w:rPr>
        <w:t>（</w:t>
      </w:r>
      <w:r>
        <w:rPr>
          <w:rFonts w:ascii="Times New Roman" w:eastAsia="仿宋_GB2312" w:hAnsi="Times New Roman" w:cs="Times New Roman" w:hint="eastAsia"/>
          <w:kern w:val="21"/>
          <w:sz w:val="32"/>
          <w:szCs w:val="32"/>
        </w:rPr>
        <w:t>3</w:t>
      </w:r>
      <w:r>
        <w:rPr>
          <w:rFonts w:ascii="Times New Roman" w:eastAsia="仿宋_GB2312" w:hAnsi="Times New Roman" w:cs="Times New Roman" w:hint="eastAsia"/>
          <w:kern w:val="21"/>
          <w:sz w:val="32"/>
          <w:szCs w:val="32"/>
        </w:rPr>
        <w:t>）</w:t>
      </w:r>
      <w:proofErr w:type="gramStart"/>
      <w:r w:rsidR="004F1C43">
        <w:rPr>
          <w:rFonts w:ascii="Times New Roman" w:eastAsia="仿宋_GB2312" w:hAnsi="Times New Roman" w:cs="Times New Roman" w:hint="eastAsia"/>
          <w:kern w:val="21"/>
          <w:sz w:val="32"/>
          <w:szCs w:val="32"/>
        </w:rPr>
        <w:t>调撤率</w:t>
      </w:r>
      <w:proofErr w:type="gramEnd"/>
      <w:r w:rsidR="004F1C43">
        <w:rPr>
          <w:rFonts w:ascii="Times New Roman" w:eastAsia="仿宋_GB2312" w:hAnsi="Times New Roman" w:cs="Times New Roman" w:hint="eastAsia"/>
          <w:kern w:val="21"/>
          <w:sz w:val="32"/>
          <w:szCs w:val="32"/>
        </w:rPr>
        <w:t>情况</w:t>
      </w:r>
    </w:p>
    <w:p w:rsidR="00047075" w:rsidRDefault="00047075" w:rsidP="00047075">
      <w:pPr>
        <w:spacing w:after="0" w:line="360" w:lineRule="auto"/>
        <w:ind w:firstLine="630"/>
        <w:jc w:val="both"/>
        <w:rPr>
          <w:rFonts w:asciiTheme="majorEastAsia" w:eastAsiaTheme="majorEastAsia" w:hAnsiTheme="majorEastAsia"/>
          <w:b/>
          <w:sz w:val="32"/>
          <w:szCs w:val="32"/>
        </w:rPr>
      </w:pPr>
      <w:r>
        <w:rPr>
          <w:rFonts w:ascii="仿宋" w:eastAsia="仿宋" w:hAnsi="仿宋" w:hint="eastAsia"/>
          <w:sz w:val="32"/>
          <w:szCs w:val="32"/>
        </w:rPr>
        <w:t>2021年第一季度调解3件，</w:t>
      </w:r>
      <w:proofErr w:type="gramStart"/>
      <w:r>
        <w:rPr>
          <w:rFonts w:ascii="仿宋" w:eastAsia="仿宋" w:hAnsi="仿宋" w:hint="eastAsia"/>
          <w:sz w:val="32"/>
          <w:szCs w:val="32"/>
        </w:rPr>
        <w:t>调撤率</w:t>
      </w:r>
      <w:proofErr w:type="gramEnd"/>
      <w:r>
        <w:rPr>
          <w:rFonts w:ascii="仿宋" w:eastAsia="仿宋" w:hAnsi="仿宋" w:hint="eastAsia"/>
          <w:sz w:val="32"/>
          <w:szCs w:val="32"/>
        </w:rPr>
        <w:t>21.43%，按年度考核，</w:t>
      </w:r>
      <w:r>
        <w:rPr>
          <w:rFonts w:ascii="Times New Roman" w:eastAsia="仿宋_GB2312" w:hAnsi="Times New Roman" w:cs="Times New Roman"/>
          <w:bCs/>
          <w:kern w:val="21"/>
          <w:sz w:val="32"/>
          <w:szCs w:val="32"/>
        </w:rPr>
        <w:t>年度</w:t>
      </w:r>
      <w:proofErr w:type="gramStart"/>
      <w:r>
        <w:rPr>
          <w:rFonts w:ascii="Times New Roman" w:eastAsia="仿宋_GB2312" w:hAnsi="Times New Roman" w:cs="Times New Roman"/>
          <w:bCs/>
          <w:kern w:val="21"/>
          <w:sz w:val="32"/>
          <w:szCs w:val="32"/>
        </w:rPr>
        <w:t>调撤率</w:t>
      </w:r>
      <w:proofErr w:type="gramEnd"/>
      <w:r>
        <w:rPr>
          <w:rFonts w:ascii="Times New Roman" w:eastAsia="仿宋_GB2312" w:hAnsi="Times New Roman" w:cs="Times New Roman"/>
          <w:bCs/>
          <w:kern w:val="21"/>
          <w:sz w:val="32"/>
          <w:szCs w:val="32"/>
        </w:rPr>
        <w:t>达到全省平均值以上的给予加分。</w:t>
      </w:r>
    </w:p>
    <w:p w:rsidR="00047075" w:rsidRPr="00047075" w:rsidRDefault="004F1C43" w:rsidP="00047075">
      <w:pPr>
        <w:spacing w:after="0" w:line="360" w:lineRule="auto"/>
        <w:ind w:firstLine="630"/>
        <w:jc w:val="both"/>
        <w:rPr>
          <w:rFonts w:ascii="Times New Roman" w:eastAsia="仿宋_GB2312" w:hAnsi="Times New Roman" w:cs="Times New Roman"/>
          <w:kern w:val="21"/>
          <w:sz w:val="32"/>
          <w:szCs w:val="32"/>
        </w:rPr>
      </w:pPr>
      <w:r>
        <w:rPr>
          <w:rFonts w:ascii="Times New Roman" w:eastAsia="仿宋_GB2312" w:hAnsi="Times New Roman" w:cs="Times New Roman" w:hint="eastAsia"/>
          <w:kern w:val="21"/>
          <w:sz w:val="32"/>
          <w:szCs w:val="32"/>
        </w:rPr>
        <w:t>（</w:t>
      </w:r>
      <w:r>
        <w:rPr>
          <w:rFonts w:ascii="Times New Roman" w:eastAsia="仿宋_GB2312" w:hAnsi="Times New Roman" w:cs="Times New Roman" w:hint="eastAsia"/>
          <w:kern w:val="21"/>
          <w:sz w:val="32"/>
          <w:szCs w:val="32"/>
        </w:rPr>
        <w:t>4</w:t>
      </w:r>
      <w:r>
        <w:rPr>
          <w:rFonts w:ascii="Times New Roman" w:eastAsia="仿宋_GB2312" w:hAnsi="Times New Roman" w:cs="Times New Roman" w:hint="eastAsia"/>
          <w:kern w:val="21"/>
          <w:sz w:val="32"/>
          <w:szCs w:val="32"/>
        </w:rPr>
        <w:t>）</w:t>
      </w:r>
      <w:r w:rsidRPr="004F1C43">
        <w:rPr>
          <w:rFonts w:ascii="Times New Roman" w:eastAsia="仿宋_GB2312" w:hAnsi="Times New Roman" w:cs="Times New Roman" w:hint="eastAsia"/>
          <w:kern w:val="21"/>
          <w:sz w:val="32"/>
          <w:szCs w:val="32"/>
        </w:rPr>
        <w:t>上诉案件流转周期</w:t>
      </w:r>
    </w:p>
    <w:p w:rsidR="00047075" w:rsidRDefault="004F1C43" w:rsidP="00047075">
      <w:pPr>
        <w:spacing w:after="0" w:line="360" w:lineRule="auto"/>
        <w:ind w:firstLine="630"/>
        <w:jc w:val="both"/>
        <w:rPr>
          <w:rFonts w:ascii="Times New Roman" w:eastAsia="仿宋_GB2312" w:hAnsi="Times New Roman" w:cs="Times New Roman"/>
          <w:kern w:val="21"/>
          <w:sz w:val="32"/>
          <w:szCs w:val="32"/>
        </w:rPr>
      </w:pPr>
      <w:r>
        <w:rPr>
          <w:rFonts w:ascii="仿宋" w:eastAsia="仿宋" w:hAnsi="仿宋" w:hint="eastAsia"/>
          <w:sz w:val="32"/>
          <w:szCs w:val="32"/>
        </w:rPr>
        <w:t>2021年第一季度无上诉案件，按年度考核，</w:t>
      </w:r>
      <w:r>
        <w:rPr>
          <w:rFonts w:ascii="Times New Roman" w:eastAsia="仿宋_GB2312" w:hAnsi="Times New Roman" w:cs="Times New Roman"/>
          <w:bCs/>
          <w:sz w:val="32"/>
          <w:szCs w:val="32"/>
        </w:rPr>
        <w:t>年度</w:t>
      </w:r>
      <w:r>
        <w:rPr>
          <w:rFonts w:ascii="Times New Roman" w:eastAsia="仿宋_GB2312" w:hAnsi="Times New Roman" w:cs="Times New Roman"/>
          <w:sz w:val="32"/>
          <w:szCs w:val="32"/>
        </w:rPr>
        <w:t>上诉案件平均移送天数</w:t>
      </w:r>
      <w:r>
        <w:rPr>
          <w:rFonts w:ascii="Times New Roman" w:eastAsia="仿宋_GB2312" w:hAnsi="Times New Roman" w:cs="Times New Roman"/>
          <w:kern w:val="21"/>
          <w:sz w:val="32"/>
          <w:szCs w:val="32"/>
        </w:rPr>
        <w:t>低于全省平均值的给予加分。</w:t>
      </w:r>
    </w:p>
    <w:p w:rsidR="004F1C43" w:rsidRPr="00047075" w:rsidRDefault="004F1C43" w:rsidP="00047075">
      <w:pPr>
        <w:spacing w:after="0" w:line="360" w:lineRule="auto"/>
        <w:ind w:firstLine="630"/>
        <w:jc w:val="both"/>
        <w:rPr>
          <w:rFonts w:ascii="仿宋" w:eastAsia="仿宋" w:hAnsi="仿宋"/>
          <w:sz w:val="32"/>
          <w:szCs w:val="32"/>
        </w:rPr>
      </w:pPr>
      <w:r>
        <w:rPr>
          <w:rFonts w:ascii="Times New Roman" w:eastAsia="仿宋_GB2312" w:hAnsi="Times New Roman" w:cs="Times New Roman" w:hint="eastAsia"/>
          <w:kern w:val="21"/>
          <w:sz w:val="32"/>
          <w:szCs w:val="32"/>
        </w:rPr>
        <w:lastRenderedPageBreak/>
        <w:t>（</w:t>
      </w:r>
      <w:r>
        <w:rPr>
          <w:rFonts w:ascii="Times New Roman" w:eastAsia="仿宋_GB2312" w:hAnsi="Times New Roman" w:cs="Times New Roman" w:hint="eastAsia"/>
          <w:kern w:val="21"/>
          <w:sz w:val="32"/>
          <w:szCs w:val="32"/>
        </w:rPr>
        <w:t>5</w:t>
      </w:r>
      <w:r>
        <w:rPr>
          <w:rFonts w:ascii="Times New Roman" w:eastAsia="仿宋_GB2312" w:hAnsi="Times New Roman" w:cs="Times New Roman" w:hint="eastAsia"/>
          <w:kern w:val="21"/>
          <w:sz w:val="32"/>
          <w:szCs w:val="32"/>
        </w:rPr>
        <w:t>）</w:t>
      </w:r>
      <w:r w:rsidRPr="004F1C43">
        <w:rPr>
          <w:rFonts w:ascii="Times New Roman" w:eastAsia="仿宋_GB2312" w:hAnsi="Times New Roman" w:cs="Times New Roman" w:hint="eastAsia"/>
          <w:kern w:val="21"/>
          <w:sz w:val="32"/>
          <w:szCs w:val="32"/>
        </w:rPr>
        <w:t>员额法官庭审直播全覆盖</w:t>
      </w:r>
      <w:r>
        <w:rPr>
          <w:rFonts w:ascii="Times New Roman" w:eastAsia="仿宋_GB2312" w:hAnsi="Times New Roman" w:cs="Times New Roman" w:hint="eastAsia"/>
          <w:kern w:val="21"/>
          <w:sz w:val="32"/>
          <w:szCs w:val="32"/>
        </w:rPr>
        <w:t>情况</w:t>
      </w:r>
    </w:p>
    <w:p w:rsidR="00AA5A02" w:rsidRDefault="00A02A9D" w:rsidP="00B03921">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2021年第一季度</w:t>
      </w:r>
      <w:r w:rsidR="009C5CA7">
        <w:rPr>
          <w:rFonts w:ascii="仿宋" w:eastAsia="仿宋" w:hAnsi="仿宋" w:hint="eastAsia"/>
          <w:sz w:val="32"/>
          <w:szCs w:val="32"/>
        </w:rPr>
        <w:t>有</w:t>
      </w:r>
      <w:r>
        <w:rPr>
          <w:rFonts w:ascii="仿宋" w:eastAsia="仿宋" w:hAnsi="仿宋" w:hint="eastAsia"/>
          <w:sz w:val="32"/>
          <w:szCs w:val="32"/>
        </w:rPr>
        <w:t>三位员额法官</w:t>
      </w:r>
      <w:r w:rsidR="009C5CA7">
        <w:rPr>
          <w:rFonts w:ascii="仿宋" w:eastAsia="仿宋" w:hAnsi="仿宋" w:hint="eastAsia"/>
          <w:sz w:val="32"/>
          <w:szCs w:val="32"/>
        </w:rPr>
        <w:t>庭审</w:t>
      </w:r>
      <w:r>
        <w:rPr>
          <w:rFonts w:ascii="仿宋" w:eastAsia="仿宋" w:hAnsi="仿宋" w:hint="eastAsia"/>
          <w:sz w:val="32"/>
          <w:szCs w:val="32"/>
        </w:rPr>
        <w:t>直播，</w:t>
      </w:r>
      <w:r>
        <w:rPr>
          <w:rFonts w:ascii="Times New Roman" w:eastAsia="仿宋_GB2312" w:hAnsi="Times New Roman" w:cs="Times New Roman"/>
          <w:kern w:val="21"/>
          <w:sz w:val="32"/>
          <w:szCs w:val="32"/>
        </w:rPr>
        <w:t>直播</w:t>
      </w:r>
      <w:r w:rsidR="009C5CA7">
        <w:rPr>
          <w:rFonts w:ascii="Times New Roman" w:eastAsia="仿宋_GB2312" w:hAnsi="Times New Roman" w:cs="Times New Roman"/>
          <w:kern w:val="21"/>
          <w:sz w:val="32"/>
          <w:szCs w:val="32"/>
        </w:rPr>
        <w:t>案件</w:t>
      </w:r>
      <w:r>
        <w:rPr>
          <w:rFonts w:ascii="Times New Roman" w:eastAsia="仿宋_GB2312" w:hAnsi="Times New Roman" w:cs="Times New Roman" w:hint="eastAsia"/>
          <w:kern w:val="21"/>
          <w:sz w:val="32"/>
          <w:szCs w:val="32"/>
        </w:rPr>
        <w:t>8</w:t>
      </w:r>
      <w:r>
        <w:rPr>
          <w:rFonts w:ascii="Times New Roman" w:eastAsia="仿宋_GB2312" w:hAnsi="Times New Roman" w:cs="Times New Roman" w:hint="eastAsia"/>
          <w:kern w:val="21"/>
          <w:sz w:val="32"/>
          <w:szCs w:val="32"/>
        </w:rPr>
        <w:t>件</w:t>
      </w:r>
      <w:r w:rsidR="00AA5A02">
        <w:rPr>
          <w:rFonts w:ascii="仿宋" w:eastAsia="仿宋" w:hAnsi="仿宋" w:hint="eastAsia"/>
          <w:sz w:val="32"/>
          <w:szCs w:val="32"/>
        </w:rPr>
        <w:t>。</w:t>
      </w:r>
    </w:p>
    <w:p w:rsidR="00A94BBF" w:rsidRDefault="00A94BBF" w:rsidP="00B03921">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（6）</w:t>
      </w:r>
      <w:r w:rsidRPr="00A94BBF">
        <w:rPr>
          <w:rFonts w:ascii="仿宋" w:eastAsia="仿宋" w:hAnsi="仿宋" w:hint="eastAsia"/>
          <w:sz w:val="32"/>
          <w:szCs w:val="32"/>
        </w:rPr>
        <w:t>旧存未结案件占比</w:t>
      </w:r>
      <w:r>
        <w:rPr>
          <w:rFonts w:ascii="仿宋" w:eastAsia="仿宋" w:hAnsi="仿宋" w:hint="eastAsia"/>
          <w:sz w:val="32"/>
          <w:szCs w:val="32"/>
        </w:rPr>
        <w:t>情况</w:t>
      </w:r>
    </w:p>
    <w:p w:rsidR="00A94BBF" w:rsidRPr="000B1065" w:rsidRDefault="00A94BBF" w:rsidP="00B03921">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无旧存案件。</w:t>
      </w:r>
    </w:p>
    <w:p w:rsidR="00A078DF" w:rsidRPr="00F80671" w:rsidRDefault="00A078DF" w:rsidP="00A078DF">
      <w:pPr>
        <w:spacing w:after="0" w:line="360" w:lineRule="auto"/>
        <w:ind w:firstLineChars="200" w:firstLine="640"/>
        <w:jc w:val="both"/>
        <w:rPr>
          <w:rFonts w:ascii="黑体" w:eastAsia="黑体" w:hAnsi="黑体"/>
          <w:sz w:val="32"/>
          <w:szCs w:val="32"/>
        </w:rPr>
      </w:pPr>
      <w:r w:rsidRPr="00F80671">
        <w:rPr>
          <w:rFonts w:ascii="黑体" w:eastAsia="黑体" w:hAnsi="黑体" w:hint="eastAsia"/>
          <w:sz w:val="32"/>
          <w:szCs w:val="32"/>
        </w:rPr>
        <w:t>三、</w:t>
      </w:r>
      <w:r>
        <w:rPr>
          <w:rFonts w:ascii="黑体" w:eastAsia="黑体" w:hAnsi="黑体" w:hint="eastAsia"/>
          <w:sz w:val="32"/>
          <w:szCs w:val="32"/>
        </w:rPr>
        <w:t>司法公开</w:t>
      </w:r>
    </w:p>
    <w:p w:rsidR="00493A69" w:rsidRPr="00A078DF" w:rsidRDefault="00493A69" w:rsidP="00A078DF">
      <w:pPr>
        <w:spacing w:after="0" w:line="360" w:lineRule="auto"/>
        <w:ind w:firstLineChars="196" w:firstLine="630"/>
        <w:jc w:val="both"/>
        <w:rPr>
          <w:rFonts w:asciiTheme="minorEastAsia" w:eastAsiaTheme="minorEastAsia" w:hAnsiTheme="minorEastAsia"/>
          <w:b/>
          <w:sz w:val="32"/>
          <w:szCs w:val="32"/>
        </w:rPr>
      </w:pPr>
      <w:r w:rsidRPr="00A078DF">
        <w:rPr>
          <w:rFonts w:asciiTheme="minorEastAsia" w:eastAsiaTheme="minorEastAsia" w:hAnsiTheme="minorEastAsia" w:hint="eastAsia"/>
          <w:b/>
          <w:sz w:val="32"/>
          <w:szCs w:val="32"/>
        </w:rPr>
        <w:t>（</w:t>
      </w:r>
      <w:r w:rsidR="00A078DF" w:rsidRPr="00A078DF">
        <w:rPr>
          <w:rFonts w:asciiTheme="minorEastAsia" w:eastAsiaTheme="minorEastAsia" w:hAnsiTheme="minorEastAsia" w:hint="eastAsia"/>
          <w:b/>
          <w:sz w:val="32"/>
          <w:szCs w:val="32"/>
        </w:rPr>
        <w:t>十</w:t>
      </w:r>
      <w:r w:rsidR="00026717">
        <w:rPr>
          <w:rFonts w:asciiTheme="minorEastAsia" w:eastAsiaTheme="minorEastAsia" w:hAnsiTheme="minorEastAsia" w:hint="eastAsia"/>
          <w:b/>
          <w:sz w:val="32"/>
          <w:szCs w:val="32"/>
        </w:rPr>
        <w:t>五</w:t>
      </w:r>
      <w:r w:rsidRPr="00A078DF">
        <w:rPr>
          <w:rFonts w:asciiTheme="minorEastAsia" w:eastAsiaTheme="minorEastAsia" w:hAnsiTheme="minorEastAsia" w:hint="eastAsia"/>
          <w:b/>
          <w:sz w:val="32"/>
          <w:szCs w:val="32"/>
        </w:rPr>
        <w:t>）裁判文书公开情况</w:t>
      </w:r>
    </w:p>
    <w:p w:rsidR="00B03F8B" w:rsidRPr="0082209F" w:rsidRDefault="00B168B4" w:rsidP="0082209F">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2021年第一季度</w:t>
      </w:r>
      <w:r w:rsidR="009F1937" w:rsidRPr="00F40D63">
        <w:rPr>
          <w:rFonts w:ascii="仿宋" w:eastAsia="仿宋" w:hAnsi="仿宋" w:hint="eastAsia"/>
          <w:sz w:val="32"/>
          <w:szCs w:val="32"/>
        </w:rPr>
        <w:t>在中国裁判</w:t>
      </w:r>
      <w:proofErr w:type="gramStart"/>
      <w:r w:rsidR="009F1937" w:rsidRPr="00F40D63">
        <w:rPr>
          <w:rFonts w:ascii="仿宋" w:eastAsia="仿宋" w:hAnsi="仿宋" w:hint="eastAsia"/>
          <w:sz w:val="32"/>
          <w:szCs w:val="32"/>
        </w:rPr>
        <w:t>文书网公开</w:t>
      </w:r>
      <w:proofErr w:type="gramEnd"/>
      <w:r w:rsidR="009F1937" w:rsidRPr="00F40D63">
        <w:rPr>
          <w:rFonts w:ascii="仿宋" w:eastAsia="仿宋" w:hAnsi="仿宋" w:hint="eastAsia"/>
          <w:sz w:val="32"/>
          <w:szCs w:val="32"/>
        </w:rPr>
        <w:t>已生效裁判文书</w:t>
      </w:r>
      <w:r w:rsidR="00A6274E">
        <w:rPr>
          <w:rFonts w:ascii="仿宋" w:eastAsia="仿宋" w:hAnsi="仿宋" w:hint="eastAsia"/>
          <w:sz w:val="32"/>
          <w:szCs w:val="32"/>
        </w:rPr>
        <w:t>(上网数)</w:t>
      </w:r>
      <w:r w:rsidR="002C55BE">
        <w:rPr>
          <w:rFonts w:ascii="仿宋" w:eastAsia="仿宋" w:hAnsi="仿宋" w:hint="eastAsia"/>
          <w:sz w:val="32"/>
          <w:szCs w:val="32"/>
        </w:rPr>
        <w:t>34</w:t>
      </w:r>
      <w:r w:rsidR="00B03F8B">
        <w:rPr>
          <w:rFonts w:ascii="仿宋" w:eastAsia="仿宋" w:hAnsi="仿宋" w:hint="eastAsia"/>
          <w:sz w:val="32"/>
          <w:szCs w:val="32"/>
        </w:rPr>
        <w:t>件</w:t>
      </w:r>
      <w:r w:rsidR="00A00759">
        <w:rPr>
          <w:rFonts w:ascii="仿宋" w:eastAsia="仿宋" w:hAnsi="仿宋" w:hint="eastAsia"/>
          <w:sz w:val="32"/>
          <w:szCs w:val="32"/>
        </w:rPr>
        <w:t>，</w:t>
      </w:r>
      <w:r w:rsidR="00A6274E">
        <w:rPr>
          <w:rFonts w:ascii="仿宋" w:eastAsia="仿宋" w:hAnsi="仿宋" w:hint="eastAsia"/>
          <w:sz w:val="32"/>
          <w:szCs w:val="32"/>
        </w:rPr>
        <w:t>经审批</w:t>
      </w:r>
      <w:proofErr w:type="gramStart"/>
      <w:r w:rsidR="00A6274E">
        <w:rPr>
          <w:rFonts w:ascii="仿宋" w:eastAsia="仿宋" w:hAnsi="仿宋" w:hint="eastAsia"/>
          <w:sz w:val="32"/>
          <w:szCs w:val="32"/>
        </w:rPr>
        <w:t>不</w:t>
      </w:r>
      <w:proofErr w:type="gramEnd"/>
      <w:r w:rsidR="00A6274E">
        <w:rPr>
          <w:rFonts w:ascii="仿宋" w:eastAsia="仿宋" w:hAnsi="仿宋" w:hint="eastAsia"/>
          <w:sz w:val="32"/>
          <w:szCs w:val="32"/>
        </w:rPr>
        <w:t>上网</w:t>
      </w:r>
      <w:r w:rsidR="002C55BE">
        <w:rPr>
          <w:rFonts w:ascii="仿宋" w:eastAsia="仿宋" w:hAnsi="仿宋" w:hint="eastAsia"/>
          <w:sz w:val="32"/>
          <w:szCs w:val="32"/>
        </w:rPr>
        <w:t>3</w:t>
      </w:r>
      <w:r w:rsidR="00B03F8B">
        <w:rPr>
          <w:rFonts w:ascii="仿宋" w:eastAsia="仿宋" w:hAnsi="仿宋" w:hint="eastAsia"/>
          <w:sz w:val="32"/>
          <w:szCs w:val="32"/>
        </w:rPr>
        <w:t>件</w:t>
      </w:r>
      <w:r w:rsidR="00AF155D">
        <w:rPr>
          <w:rFonts w:ascii="仿宋" w:eastAsia="仿宋" w:hAnsi="仿宋" w:hint="eastAsia"/>
          <w:sz w:val="32"/>
          <w:szCs w:val="32"/>
        </w:rPr>
        <w:t>（以调解方式结案）</w:t>
      </w:r>
      <w:r w:rsidR="00B03F8B">
        <w:rPr>
          <w:rFonts w:ascii="仿宋" w:eastAsia="仿宋" w:hAnsi="仿宋" w:hint="eastAsia"/>
          <w:sz w:val="32"/>
          <w:szCs w:val="32"/>
        </w:rPr>
        <w:t>，</w:t>
      </w:r>
      <w:r w:rsidR="00A6274E">
        <w:rPr>
          <w:rFonts w:ascii="仿宋" w:eastAsia="仿宋" w:hAnsi="仿宋" w:hint="eastAsia"/>
          <w:sz w:val="32"/>
          <w:szCs w:val="32"/>
        </w:rPr>
        <w:t>裁判文书上网率</w:t>
      </w:r>
      <w:r w:rsidR="009F1937" w:rsidRPr="00F40D63">
        <w:rPr>
          <w:rFonts w:ascii="仿宋" w:eastAsia="仿宋" w:hAnsi="仿宋" w:hint="eastAsia"/>
          <w:sz w:val="32"/>
          <w:szCs w:val="32"/>
        </w:rPr>
        <w:t>为9</w:t>
      </w:r>
      <w:r w:rsidR="002C55BE">
        <w:rPr>
          <w:rFonts w:ascii="仿宋" w:eastAsia="仿宋" w:hAnsi="仿宋" w:hint="eastAsia"/>
          <w:sz w:val="32"/>
          <w:szCs w:val="32"/>
        </w:rPr>
        <w:t>2.50</w:t>
      </w:r>
      <w:r w:rsidR="009F1937" w:rsidRPr="00F40D63">
        <w:rPr>
          <w:rFonts w:ascii="仿宋" w:eastAsia="仿宋" w:hAnsi="仿宋" w:hint="eastAsia"/>
          <w:sz w:val="32"/>
          <w:szCs w:val="32"/>
        </w:rPr>
        <w:t>%</w:t>
      </w:r>
      <w:r w:rsidR="002C55BE">
        <w:rPr>
          <w:rFonts w:ascii="仿宋" w:eastAsia="仿宋" w:hAnsi="仿宋" w:hint="eastAsia"/>
          <w:sz w:val="32"/>
          <w:szCs w:val="32"/>
        </w:rPr>
        <w:t>，</w:t>
      </w:r>
      <w:r w:rsidR="00026717">
        <w:rPr>
          <w:rFonts w:ascii="仿宋" w:eastAsia="仿宋" w:hAnsi="仿宋" w:hint="eastAsia"/>
          <w:sz w:val="32"/>
          <w:szCs w:val="32"/>
        </w:rPr>
        <w:t>按上半年和年度进行考核，</w:t>
      </w:r>
      <w:r w:rsidR="002C55BE">
        <w:rPr>
          <w:rFonts w:ascii="仿宋" w:eastAsia="仿宋" w:hAnsi="仿宋" w:hint="eastAsia"/>
          <w:sz w:val="32"/>
          <w:szCs w:val="32"/>
        </w:rPr>
        <w:t>上半年和年度裁判文书上网率</w:t>
      </w:r>
      <w:r w:rsidR="00026717">
        <w:rPr>
          <w:rFonts w:ascii="仿宋" w:eastAsia="仿宋" w:hAnsi="仿宋" w:hint="eastAsia"/>
          <w:sz w:val="32"/>
          <w:szCs w:val="32"/>
        </w:rPr>
        <w:t>均</w:t>
      </w:r>
      <w:r w:rsidR="00320235">
        <w:rPr>
          <w:rFonts w:ascii="仿宋" w:eastAsia="仿宋" w:hAnsi="仿宋" w:hint="eastAsia"/>
          <w:sz w:val="32"/>
          <w:szCs w:val="32"/>
        </w:rPr>
        <w:t>应</w:t>
      </w:r>
      <w:r w:rsidR="00026717">
        <w:rPr>
          <w:rFonts w:ascii="仿宋" w:eastAsia="仿宋" w:hAnsi="仿宋" w:hint="eastAsia"/>
          <w:sz w:val="32"/>
          <w:szCs w:val="32"/>
        </w:rPr>
        <w:t>达到80.00%以上</w:t>
      </w:r>
      <w:r w:rsidR="009F1937" w:rsidRPr="00F40D63">
        <w:rPr>
          <w:rFonts w:ascii="仿宋" w:eastAsia="仿宋" w:hAnsi="仿宋" w:hint="eastAsia"/>
          <w:sz w:val="32"/>
          <w:szCs w:val="32"/>
        </w:rPr>
        <w:t>。</w:t>
      </w:r>
    </w:p>
    <w:p w:rsidR="002C55BE" w:rsidRDefault="00493A69" w:rsidP="002C55BE">
      <w:pPr>
        <w:spacing w:after="0" w:line="360" w:lineRule="auto"/>
        <w:ind w:firstLineChars="200" w:firstLine="643"/>
        <w:jc w:val="both"/>
        <w:rPr>
          <w:rFonts w:asciiTheme="minorEastAsia" w:eastAsiaTheme="minorEastAsia" w:hAnsiTheme="minorEastAsia"/>
          <w:b/>
          <w:sz w:val="32"/>
          <w:szCs w:val="32"/>
        </w:rPr>
      </w:pPr>
      <w:r w:rsidRPr="00A078DF">
        <w:rPr>
          <w:rFonts w:asciiTheme="minorEastAsia" w:eastAsiaTheme="minorEastAsia" w:hAnsiTheme="minorEastAsia" w:hint="eastAsia"/>
          <w:b/>
          <w:sz w:val="32"/>
          <w:szCs w:val="32"/>
        </w:rPr>
        <w:t>（</w:t>
      </w:r>
      <w:r w:rsidR="00A078DF" w:rsidRPr="00A078DF">
        <w:rPr>
          <w:rFonts w:asciiTheme="minorEastAsia" w:eastAsiaTheme="minorEastAsia" w:hAnsiTheme="minorEastAsia" w:hint="eastAsia"/>
          <w:b/>
          <w:sz w:val="32"/>
          <w:szCs w:val="32"/>
        </w:rPr>
        <w:t>十</w:t>
      </w:r>
      <w:r w:rsidR="00026717">
        <w:rPr>
          <w:rFonts w:asciiTheme="minorEastAsia" w:eastAsiaTheme="minorEastAsia" w:hAnsiTheme="minorEastAsia" w:hint="eastAsia"/>
          <w:b/>
          <w:sz w:val="32"/>
          <w:szCs w:val="32"/>
        </w:rPr>
        <w:t>六</w:t>
      </w:r>
      <w:r w:rsidRPr="00A078DF">
        <w:rPr>
          <w:rFonts w:asciiTheme="minorEastAsia" w:eastAsiaTheme="minorEastAsia" w:hAnsiTheme="minorEastAsia" w:hint="eastAsia"/>
          <w:b/>
          <w:sz w:val="32"/>
          <w:szCs w:val="32"/>
        </w:rPr>
        <w:t>）</w:t>
      </w:r>
      <w:r w:rsidR="00AE6944" w:rsidRPr="00A078DF">
        <w:rPr>
          <w:rFonts w:asciiTheme="minorEastAsia" w:eastAsiaTheme="minorEastAsia" w:hAnsiTheme="minorEastAsia" w:hint="eastAsia"/>
          <w:b/>
          <w:sz w:val="32"/>
          <w:szCs w:val="32"/>
        </w:rPr>
        <w:t>庭审直播数占比情况</w:t>
      </w:r>
    </w:p>
    <w:p w:rsidR="00244F2F" w:rsidRPr="00026717" w:rsidRDefault="00026717" w:rsidP="00026717">
      <w:pPr>
        <w:spacing w:line="570" w:lineRule="exact"/>
        <w:ind w:firstLineChars="200" w:firstLine="640"/>
        <w:rPr>
          <w:rFonts w:ascii="Times New Roman" w:eastAsia="仿宋_GB2312" w:hAnsi="Times New Roman" w:cs="Times New Roman"/>
          <w:kern w:val="21"/>
          <w:sz w:val="32"/>
          <w:szCs w:val="32"/>
        </w:rPr>
      </w:pPr>
      <w:r>
        <w:rPr>
          <w:rFonts w:ascii="仿宋" w:eastAsia="仿宋" w:hAnsi="仿宋" w:hint="eastAsia"/>
          <w:sz w:val="32"/>
          <w:szCs w:val="32"/>
        </w:rPr>
        <w:t>2021年庭审直播率算法已做更改，</w:t>
      </w:r>
      <w:r>
        <w:rPr>
          <w:rFonts w:ascii="Times New Roman" w:eastAsia="仿宋_GB2312" w:hAnsi="Times New Roman" w:cs="Times New Roman"/>
          <w:kern w:val="21"/>
          <w:sz w:val="32"/>
          <w:szCs w:val="32"/>
        </w:rPr>
        <w:t>庭审直播率</w:t>
      </w: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直播案件数</w:t>
      </w: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开庭审理案件数</w:t>
      </w:r>
      <w:r>
        <w:rPr>
          <w:rFonts w:ascii="Times New Roman" w:eastAsia="仿宋_GB2312" w:hAnsi="Times New Roman" w:cs="Times New Roman"/>
          <w:kern w:val="21"/>
          <w:sz w:val="32"/>
          <w:szCs w:val="32"/>
        </w:rPr>
        <w:t>×100%</w:t>
      </w:r>
      <w:r>
        <w:rPr>
          <w:rFonts w:ascii="Times New Roman" w:eastAsia="仿宋_GB2312" w:hAnsi="Times New Roman" w:cs="Times New Roman"/>
          <w:kern w:val="21"/>
          <w:sz w:val="32"/>
          <w:szCs w:val="32"/>
        </w:rPr>
        <w:t>，用于考核庭审直播工作情况，按年度进行考核</w:t>
      </w:r>
      <w:r>
        <w:rPr>
          <w:rFonts w:ascii="仿宋" w:eastAsia="仿宋" w:hAnsi="仿宋" w:hint="eastAsia"/>
          <w:sz w:val="32"/>
          <w:szCs w:val="32"/>
        </w:rPr>
        <w:t>，年度庭审直播率指标应达到70%以上</w:t>
      </w:r>
      <w:r>
        <w:rPr>
          <w:rFonts w:ascii="Times New Roman" w:eastAsia="仿宋_GB2312" w:hAnsi="Times New Roman" w:cs="Times New Roman"/>
          <w:kern w:val="21"/>
          <w:sz w:val="32"/>
          <w:szCs w:val="32"/>
        </w:rPr>
        <w:t>。</w:t>
      </w:r>
      <w:r w:rsidR="00B168B4">
        <w:rPr>
          <w:rFonts w:ascii="仿宋" w:eastAsia="仿宋" w:hAnsi="仿宋" w:hint="eastAsia"/>
          <w:sz w:val="32"/>
          <w:szCs w:val="32"/>
        </w:rPr>
        <w:t>2021年第一季度</w:t>
      </w:r>
      <w:r w:rsidR="006B7971">
        <w:rPr>
          <w:rFonts w:ascii="仿宋" w:eastAsia="仿宋" w:hAnsi="仿宋" w:hint="eastAsia"/>
          <w:sz w:val="32"/>
          <w:szCs w:val="32"/>
        </w:rPr>
        <w:t>受理诉讼案件数</w:t>
      </w:r>
      <w:r w:rsidR="002C55BE">
        <w:rPr>
          <w:rFonts w:ascii="仿宋" w:eastAsia="仿宋" w:hAnsi="仿宋" w:hint="eastAsia"/>
          <w:sz w:val="32"/>
          <w:szCs w:val="32"/>
        </w:rPr>
        <w:t>15</w:t>
      </w:r>
      <w:r w:rsidR="006B7971">
        <w:rPr>
          <w:rFonts w:ascii="仿宋" w:eastAsia="仿宋" w:hAnsi="仿宋" w:hint="eastAsia"/>
          <w:sz w:val="32"/>
          <w:szCs w:val="32"/>
        </w:rPr>
        <w:t>件</w:t>
      </w:r>
      <w:r w:rsidR="005800E4">
        <w:rPr>
          <w:rFonts w:ascii="仿宋" w:eastAsia="仿宋" w:hAnsi="仿宋" w:hint="eastAsia"/>
          <w:sz w:val="32"/>
          <w:szCs w:val="32"/>
        </w:rPr>
        <w:t>，</w:t>
      </w:r>
      <w:r w:rsidR="002C55BE">
        <w:rPr>
          <w:rFonts w:ascii="仿宋" w:eastAsia="仿宋" w:hAnsi="仿宋" w:hint="eastAsia"/>
          <w:sz w:val="32"/>
          <w:szCs w:val="32"/>
        </w:rPr>
        <w:t>开庭审理案件8件，</w:t>
      </w:r>
      <w:r w:rsidR="00AE6944">
        <w:rPr>
          <w:rFonts w:ascii="仿宋" w:eastAsia="仿宋" w:hAnsi="仿宋" w:hint="eastAsia"/>
          <w:sz w:val="32"/>
          <w:szCs w:val="32"/>
        </w:rPr>
        <w:t>已庭审直播数</w:t>
      </w:r>
      <w:r w:rsidR="002C55BE">
        <w:rPr>
          <w:rFonts w:ascii="仿宋" w:eastAsia="仿宋" w:hAnsi="仿宋" w:hint="eastAsia"/>
          <w:sz w:val="32"/>
          <w:szCs w:val="32"/>
        </w:rPr>
        <w:t>8</w:t>
      </w:r>
      <w:r w:rsidR="00AE6944">
        <w:rPr>
          <w:rFonts w:ascii="仿宋" w:eastAsia="仿宋" w:hAnsi="仿宋" w:hint="eastAsia"/>
          <w:sz w:val="32"/>
          <w:szCs w:val="32"/>
        </w:rPr>
        <w:t>件</w:t>
      </w:r>
      <w:r w:rsidR="002C55BE">
        <w:rPr>
          <w:rFonts w:ascii="仿宋" w:eastAsia="仿宋" w:hAnsi="仿宋" w:hint="eastAsia"/>
          <w:sz w:val="32"/>
          <w:szCs w:val="32"/>
        </w:rPr>
        <w:t>，</w:t>
      </w:r>
      <w:r w:rsidR="006B7971">
        <w:rPr>
          <w:rFonts w:ascii="仿宋" w:eastAsia="仿宋" w:hAnsi="仿宋" w:hint="eastAsia"/>
          <w:sz w:val="32"/>
          <w:szCs w:val="32"/>
        </w:rPr>
        <w:t>庭审直播率</w:t>
      </w:r>
      <w:r w:rsidR="002C55BE">
        <w:rPr>
          <w:rFonts w:ascii="仿宋" w:eastAsia="仿宋" w:hAnsi="仿宋" w:hint="eastAsia"/>
          <w:sz w:val="32"/>
          <w:szCs w:val="32"/>
        </w:rPr>
        <w:t>100.00</w:t>
      </w:r>
      <w:r w:rsidR="006B7971">
        <w:rPr>
          <w:rFonts w:ascii="仿宋" w:eastAsia="仿宋" w:hAnsi="仿宋" w:hint="eastAsia"/>
          <w:sz w:val="32"/>
          <w:szCs w:val="32"/>
        </w:rPr>
        <w:t>%。</w:t>
      </w:r>
    </w:p>
    <w:p w:rsidR="006F22F7" w:rsidRPr="00A078DF" w:rsidRDefault="0074089E" w:rsidP="00A078DF">
      <w:pPr>
        <w:spacing w:after="0" w:line="360" w:lineRule="auto"/>
        <w:ind w:firstLineChars="250" w:firstLine="803"/>
        <w:jc w:val="both"/>
        <w:rPr>
          <w:rFonts w:asciiTheme="majorEastAsia" w:eastAsiaTheme="majorEastAsia" w:hAnsiTheme="majorEastAsia"/>
          <w:b/>
          <w:sz w:val="32"/>
          <w:szCs w:val="32"/>
        </w:rPr>
      </w:pPr>
      <w:r w:rsidRPr="00A078DF">
        <w:rPr>
          <w:rFonts w:asciiTheme="majorEastAsia" w:eastAsiaTheme="majorEastAsia" w:hAnsiTheme="majorEastAsia" w:hint="eastAsia"/>
          <w:b/>
          <w:sz w:val="32"/>
          <w:szCs w:val="32"/>
        </w:rPr>
        <w:t>（</w:t>
      </w:r>
      <w:r w:rsidR="000725B7">
        <w:rPr>
          <w:rFonts w:asciiTheme="majorEastAsia" w:eastAsiaTheme="majorEastAsia" w:hAnsiTheme="majorEastAsia" w:hint="eastAsia"/>
          <w:b/>
          <w:sz w:val="32"/>
          <w:szCs w:val="32"/>
        </w:rPr>
        <w:t>十</w:t>
      </w:r>
      <w:r w:rsidR="00026717">
        <w:rPr>
          <w:rFonts w:asciiTheme="majorEastAsia" w:eastAsiaTheme="majorEastAsia" w:hAnsiTheme="majorEastAsia" w:hint="eastAsia"/>
          <w:b/>
          <w:sz w:val="32"/>
          <w:szCs w:val="32"/>
        </w:rPr>
        <w:t>七</w:t>
      </w:r>
      <w:r w:rsidRPr="00A078DF">
        <w:rPr>
          <w:rFonts w:asciiTheme="majorEastAsia" w:eastAsiaTheme="majorEastAsia" w:hAnsiTheme="majorEastAsia" w:hint="eastAsia"/>
          <w:b/>
          <w:sz w:val="32"/>
          <w:szCs w:val="32"/>
        </w:rPr>
        <w:t>）</w:t>
      </w:r>
      <w:r w:rsidR="005220AD" w:rsidRPr="00A078DF">
        <w:rPr>
          <w:rFonts w:asciiTheme="majorEastAsia" w:eastAsiaTheme="majorEastAsia" w:hAnsiTheme="majorEastAsia" w:hint="eastAsia"/>
          <w:b/>
          <w:sz w:val="32"/>
          <w:szCs w:val="32"/>
        </w:rPr>
        <w:t>审判流程信息公开</w:t>
      </w:r>
      <w:r w:rsidR="00AE6944" w:rsidRPr="00A078DF">
        <w:rPr>
          <w:rFonts w:asciiTheme="majorEastAsia" w:eastAsiaTheme="majorEastAsia" w:hAnsiTheme="majorEastAsia" w:hint="eastAsia"/>
          <w:b/>
          <w:sz w:val="32"/>
          <w:szCs w:val="32"/>
        </w:rPr>
        <w:t>情况</w:t>
      </w:r>
    </w:p>
    <w:p w:rsidR="00B03921" w:rsidRDefault="00B168B4" w:rsidP="00B03921">
      <w:pPr>
        <w:spacing w:after="0" w:line="360" w:lineRule="auto"/>
        <w:ind w:firstLineChars="250" w:firstLine="800"/>
        <w:jc w:val="both"/>
        <w:rPr>
          <w:rFonts w:ascii="仿宋" w:eastAsia="仿宋" w:hAnsi="仿宋"/>
          <w:sz w:val="32"/>
          <w:szCs w:val="32"/>
        </w:rPr>
      </w:pPr>
      <w:r>
        <w:rPr>
          <w:rFonts w:ascii="仿宋" w:eastAsia="仿宋" w:hAnsi="仿宋" w:hint="eastAsia"/>
          <w:sz w:val="32"/>
          <w:szCs w:val="32"/>
        </w:rPr>
        <w:t>2021年第一季度</w:t>
      </w:r>
      <w:r w:rsidR="00C35B94">
        <w:rPr>
          <w:rFonts w:ascii="仿宋" w:eastAsia="仿宋" w:hAnsi="仿宋" w:hint="eastAsia"/>
          <w:sz w:val="32"/>
          <w:szCs w:val="32"/>
        </w:rPr>
        <w:t>审判流程信息应公开案件数为</w:t>
      </w:r>
      <w:r w:rsidR="00026717">
        <w:rPr>
          <w:rFonts w:ascii="仿宋" w:eastAsia="仿宋" w:hAnsi="仿宋" w:hint="eastAsia"/>
          <w:sz w:val="32"/>
          <w:szCs w:val="32"/>
        </w:rPr>
        <w:t>15</w:t>
      </w:r>
      <w:r w:rsidR="00AE6944" w:rsidRPr="001D720C">
        <w:rPr>
          <w:rFonts w:ascii="仿宋" w:eastAsia="仿宋" w:hAnsi="仿宋" w:hint="eastAsia"/>
          <w:sz w:val="32"/>
          <w:szCs w:val="32"/>
        </w:rPr>
        <w:t>件</w:t>
      </w:r>
      <w:r w:rsidR="005E7309">
        <w:rPr>
          <w:rFonts w:ascii="仿宋" w:eastAsia="仿宋" w:hAnsi="仿宋" w:hint="eastAsia"/>
          <w:sz w:val="32"/>
          <w:szCs w:val="32"/>
        </w:rPr>
        <w:t>，有效</w:t>
      </w:r>
      <w:r w:rsidR="00970B69">
        <w:rPr>
          <w:rFonts w:ascii="仿宋" w:eastAsia="仿宋" w:hAnsi="仿宋" w:hint="eastAsia"/>
          <w:sz w:val="32"/>
          <w:szCs w:val="32"/>
        </w:rPr>
        <w:t>公开案件数</w:t>
      </w:r>
      <w:r w:rsidR="00E120CC">
        <w:rPr>
          <w:rFonts w:ascii="仿宋" w:eastAsia="仿宋" w:hAnsi="仿宋" w:hint="eastAsia"/>
          <w:sz w:val="32"/>
          <w:szCs w:val="32"/>
        </w:rPr>
        <w:t>1</w:t>
      </w:r>
      <w:r w:rsidR="00026717">
        <w:rPr>
          <w:rFonts w:ascii="仿宋" w:eastAsia="仿宋" w:hAnsi="仿宋" w:hint="eastAsia"/>
          <w:sz w:val="32"/>
          <w:szCs w:val="32"/>
        </w:rPr>
        <w:t>5</w:t>
      </w:r>
      <w:r w:rsidR="00970B69">
        <w:rPr>
          <w:rFonts w:ascii="仿宋" w:eastAsia="仿宋" w:hAnsi="仿宋" w:hint="eastAsia"/>
          <w:sz w:val="32"/>
          <w:szCs w:val="32"/>
        </w:rPr>
        <w:t>件，</w:t>
      </w:r>
      <w:r w:rsidR="00020C88">
        <w:rPr>
          <w:rFonts w:ascii="仿宋" w:eastAsia="仿宋" w:hAnsi="仿宋" w:hint="eastAsia"/>
          <w:sz w:val="32"/>
          <w:szCs w:val="32"/>
        </w:rPr>
        <w:t>有效公开率</w:t>
      </w:r>
      <w:r w:rsidR="001D720C" w:rsidRPr="001D720C">
        <w:rPr>
          <w:rFonts w:ascii="仿宋" w:eastAsia="仿宋" w:hAnsi="仿宋" w:hint="eastAsia"/>
          <w:sz w:val="32"/>
          <w:szCs w:val="32"/>
        </w:rPr>
        <w:t>100.00</w:t>
      </w:r>
      <w:r w:rsidR="003F0B7B">
        <w:rPr>
          <w:rFonts w:ascii="仿宋" w:eastAsia="仿宋" w:hAnsi="仿宋" w:hint="eastAsia"/>
          <w:sz w:val="32"/>
          <w:szCs w:val="32"/>
        </w:rPr>
        <w:t>%，</w:t>
      </w:r>
      <w:r w:rsidR="00520C95">
        <w:rPr>
          <w:rFonts w:ascii="仿宋" w:eastAsia="仿宋" w:hAnsi="仿宋" w:hint="eastAsia"/>
          <w:sz w:val="32"/>
          <w:szCs w:val="32"/>
        </w:rPr>
        <w:t>文书笔录</w:t>
      </w:r>
      <w:r w:rsidR="005E7309">
        <w:rPr>
          <w:rFonts w:ascii="仿宋" w:eastAsia="仿宋" w:hAnsi="仿宋" w:hint="eastAsia"/>
          <w:sz w:val="32"/>
          <w:szCs w:val="32"/>
        </w:rPr>
        <w:t>公开</w:t>
      </w:r>
      <w:r w:rsidR="00020C88">
        <w:rPr>
          <w:rFonts w:ascii="仿宋" w:eastAsia="仿宋" w:hAnsi="仿宋" w:hint="eastAsia"/>
          <w:sz w:val="32"/>
          <w:szCs w:val="32"/>
        </w:rPr>
        <w:t>数</w:t>
      </w:r>
      <w:r w:rsidR="00361142" w:rsidRPr="00520C95">
        <w:rPr>
          <w:rFonts w:ascii="仿宋" w:eastAsia="仿宋" w:hAnsi="仿宋" w:hint="eastAsia"/>
          <w:sz w:val="32"/>
          <w:szCs w:val="32"/>
        </w:rPr>
        <w:t xml:space="preserve"> </w:t>
      </w:r>
      <w:r w:rsidR="00026717">
        <w:rPr>
          <w:rFonts w:ascii="仿宋" w:eastAsia="仿宋" w:hAnsi="仿宋" w:hint="eastAsia"/>
          <w:sz w:val="32"/>
          <w:szCs w:val="32"/>
        </w:rPr>
        <w:t>6</w:t>
      </w:r>
      <w:r w:rsidR="00620EDA" w:rsidRPr="00520C95">
        <w:rPr>
          <w:rFonts w:ascii="仿宋" w:eastAsia="仿宋" w:hAnsi="仿宋" w:hint="eastAsia"/>
          <w:sz w:val="32"/>
          <w:szCs w:val="32"/>
        </w:rPr>
        <w:t>件</w:t>
      </w:r>
      <w:r w:rsidR="00020C88" w:rsidRPr="00520C95">
        <w:rPr>
          <w:rFonts w:ascii="仿宋" w:eastAsia="仿宋" w:hAnsi="仿宋" w:hint="eastAsia"/>
          <w:sz w:val="32"/>
          <w:szCs w:val="32"/>
        </w:rPr>
        <w:t>，文书笔录公开率</w:t>
      </w:r>
      <w:r w:rsidR="00026717">
        <w:rPr>
          <w:rFonts w:ascii="仿宋" w:eastAsia="仿宋" w:hAnsi="仿宋" w:hint="eastAsia"/>
          <w:sz w:val="32"/>
          <w:szCs w:val="32"/>
        </w:rPr>
        <w:t>40.00</w:t>
      </w:r>
      <w:r w:rsidR="00020C88" w:rsidRPr="00520C95">
        <w:rPr>
          <w:rFonts w:ascii="仿宋" w:eastAsia="仿宋" w:hAnsi="仿宋" w:hint="eastAsia"/>
          <w:sz w:val="32"/>
          <w:szCs w:val="32"/>
        </w:rPr>
        <w:t>%</w:t>
      </w:r>
      <w:r w:rsidR="005E7309">
        <w:rPr>
          <w:rFonts w:ascii="仿宋" w:eastAsia="仿宋" w:hAnsi="仿宋" w:hint="eastAsia"/>
          <w:sz w:val="32"/>
          <w:szCs w:val="32"/>
        </w:rPr>
        <w:t>，电子送达</w:t>
      </w:r>
      <w:r w:rsidR="00020C88" w:rsidRPr="00520C95">
        <w:rPr>
          <w:rFonts w:ascii="仿宋" w:eastAsia="仿宋" w:hAnsi="仿宋" w:hint="eastAsia"/>
          <w:sz w:val="32"/>
          <w:szCs w:val="32"/>
        </w:rPr>
        <w:t>数</w:t>
      </w:r>
      <w:r w:rsidR="00026717">
        <w:rPr>
          <w:rFonts w:ascii="仿宋" w:eastAsia="仿宋" w:hAnsi="仿宋" w:hint="eastAsia"/>
          <w:sz w:val="32"/>
          <w:szCs w:val="32"/>
        </w:rPr>
        <w:t>22</w:t>
      </w:r>
      <w:r w:rsidR="0037127D" w:rsidRPr="00520C95">
        <w:rPr>
          <w:rFonts w:ascii="仿宋" w:eastAsia="仿宋" w:hAnsi="仿宋" w:hint="eastAsia"/>
          <w:sz w:val="32"/>
          <w:szCs w:val="32"/>
        </w:rPr>
        <w:t>件</w:t>
      </w:r>
      <w:r w:rsidR="00020C88" w:rsidRPr="00520C95">
        <w:rPr>
          <w:rFonts w:ascii="仿宋" w:eastAsia="仿宋" w:hAnsi="仿宋" w:hint="eastAsia"/>
          <w:sz w:val="32"/>
          <w:szCs w:val="32"/>
        </w:rPr>
        <w:t>，电子送达率</w:t>
      </w:r>
      <w:r w:rsidR="00026717">
        <w:rPr>
          <w:rFonts w:ascii="仿宋" w:eastAsia="仿宋" w:hAnsi="仿宋" w:hint="eastAsia"/>
          <w:sz w:val="32"/>
          <w:szCs w:val="32"/>
        </w:rPr>
        <w:t>146.67</w:t>
      </w:r>
      <w:r w:rsidR="00361142" w:rsidRPr="00520C95">
        <w:rPr>
          <w:rFonts w:ascii="仿宋" w:eastAsia="仿宋" w:hAnsi="仿宋" w:hint="eastAsia"/>
          <w:sz w:val="32"/>
          <w:szCs w:val="32"/>
        </w:rPr>
        <w:t xml:space="preserve"> </w:t>
      </w:r>
      <w:r w:rsidR="00020C88" w:rsidRPr="00520C95">
        <w:rPr>
          <w:rFonts w:ascii="仿宋" w:eastAsia="仿宋" w:hAnsi="仿宋" w:hint="eastAsia"/>
          <w:sz w:val="32"/>
          <w:szCs w:val="32"/>
        </w:rPr>
        <w:t>%</w:t>
      </w:r>
      <w:r w:rsidR="000725B7">
        <w:rPr>
          <w:rFonts w:ascii="仿宋" w:eastAsia="仿宋" w:hAnsi="仿宋" w:hint="eastAsia"/>
          <w:sz w:val="32"/>
          <w:szCs w:val="32"/>
        </w:rPr>
        <w:t>。</w:t>
      </w:r>
      <w:r w:rsidR="00026717">
        <w:rPr>
          <w:rFonts w:ascii="仿宋" w:eastAsia="仿宋" w:hAnsi="仿宋" w:hint="eastAsia"/>
          <w:sz w:val="32"/>
          <w:szCs w:val="32"/>
        </w:rPr>
        <w:t>年度</w:t>
      </w:r>
      <w:r w:rsidR="000725B7">
        <w:rPr>
          <w:rFonts w:ascii="仿宋" w:eastAsia="仿宋" w:hAnsi="仿宋" w:hint="eastAsia"/>
          <w:sz w:val="32"/>
          <w:szCs w:val="32"/>
        </w:rPr>
        <w:t>有效公开率应达到9</w:t>
      </w:r>
      <w:r w:rsidR="00026717">
        <w:rPr>
          <w:rFonts w:ascii="仿宋" w:eastAsia="仿宋" w:hAnsi="仿宋" w:hint="eastAsia"/>
          <w:sz w:val="32"/>
          <w:szCs w:val="32"/>
        </w:rPr>
        <w:t>7</w:t>
      </w:r>
      <w:r w:rsidR="000725B7">
        <w:rPr>
          <w:rFonts w:ascii="仿宋" w:eastAsia="仿宋" w:hAnsi="仿宋" w:hint="eastAsia"/>
          <w:sz w:val="32"/>
          <w:szCs w:val="32"/>
        </w:rPr>
        <w:t>%以上，</w:t>
      </w:r>
      <w:r w:rsidR="000725B7" w:rsidRPr="00D83670">
        <w:rPr>
          <w:rFonts w:ascii="仿宋" w:eastAsia="仿宋" w:hAnsi="仿宋" w:hint="eastAsia"/>
          <w:sz w:val="32"/>
          <w:szCs w:val="32"/>
        </w:rPr>
        <w:t>电子送达率</w:t>
      </w:r>
      <w:r w:rsidR="00026717" w:rsidRPr="00D83670">
        <w:rPr>
          <w:rFonts w:ascii="仿宋" w:eastAsia="仿宋" w:hAnsi="仿宋" w:hint="eastAsia"/>
          <w:sz w:val="32"/>
          <w:szCs w:val="32"/>
        </w:rPr>
        <w:t>达到30%以上</w:t>
      </w:r>
      <w:r w:rsidR="000725B7" w:rsidRPr="00D83670">
        <w:rPr>
          <w:rFonts w:ascii="仿宋" w:eastAsia="仿宋" w:hAnsi="仿宋" w:hint="eastAsia"/>
          <w:sz w:val="32"/>
          <w:szCs w:val="32"/>
        </w:rPr>
        <w:t>、文书公开率应达到</w:t>
      </w:r>
      <w:r w:rsidR="00026717" w:rsidRPr="00D83670">
        <w:rPr>
          <w:rFonts w:ascii="仿宋" w:eastAsia="仿宋" w:hAnsi="仿宋" w:hint="eastAsia"/>
          <w:sz w:val="32"/>
          <w:szCs w:val="32"/>
        </w:rPr>
        <w:t>6</w:t>
      </w:r>
      <w:r w:rsidR="000725B7" w:rsidRPr="00D83670">
        <w:rPr>
          <w:rFonts w:ascii="仿宋" w:eastAsia="仿宋" w:hAnsi="仿宋" w:hint="eastAsia"/>
          <w:sz w:val="32"/>
          <w:szCs w:val="32"/>
        </w:rPr>
        <w:t>0%以上</w:t>
      </w:r>
      <w:r w:rsidR="00020C88" w:rsidRPr="00520C95">
        <w:rPr>
          <w:rFonts w:ascii="仿宋" w:eastAsia="仿宋" w:hAnsi="仿宋" w:hint="eastAsia"/>
          <w:sz w:val="32"/>
          <w:szCs w:val="32"/>
        </w:rPr>
        <w:t>。</w:t>
      </w:r>
    </w:p>
    <w:p w:rsidR="00AA0A0C" w:rsidRPr="00BE6BDC" w:rsidRDefault="0074089E" w:rsidP="000340D8">
      <w:pPr>
        <w:spacing w:after="0" w:line="360" w:lineRule="auto"/>
        <w:ind w:firstLineChars="250" w:firstLine="800"/>
        <w:jc w:val="both"/>
        <w:rPr>
          <w:rFonts w:ascii="黑体" w:eastAsia="黑体" w:hAnsi="黑体"/>
          <w:sz w:val="32"/>
          <w:szCs w:val="32"/>
        </w:rPr>
      </w:pPr>
      <w:r>
        <w:rPr>
          <w:rFonts w:ascii="黑体" w:eastAsia="黑体" w:hAnsi="黑体" w:hint="eastAsia"/>
          <w:sz w:val="32"/>
          <w:szCs w:val="32"/>
        </w:rPr>
        <w:lastRenderedPageBreak/>
        <w:t>五、</w:t>
      </w:r>
      <w:r w:rsidR="00AA0A0C" w:rsidRPr="00BE6BDC">
        <w:rPr>
          <w:rFonts w:ascii="黑体" w:eastAsia="黑体" w:hAnsi="黑体" w:hint="eastAsia"/>
          <w:sz w:val="32"/>
          <w:szCs w:val="32"/>
        </w:rPr>
        <w:t>下一步工作意见</w:t>
      </w:r>
    </w:p>
    <w:p w:rsidR="00D83670" w:rsidRPr="00ED0AFB" w:rsidRDefault="00ED0AFB" w:rsidP="00ED0AFB">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（一）提高案件审判质量。各审判员在保证案件审判效率同时，也要保证案件的审判质量，坚持做到质量与效率统一，尽量避免判决案件上诉、被改判、发回重审。</w:t>
      </w:r>
    </w:p>
    <w:p w:rsidR="00D83670" w:rsidRPr="00E3355A" w:rsidRDefault="00D83670" w:rsidP="00D83670">
      <w:pPr>
        <w:spacing w:after="0" w:line="360" w:lineRule="auto"/>
        <w:ind w:firstLineChars="200" w:firstLine="640"/>
        <w:jc w:val="both"/>
        <w:rPr>
          <w:rFonts w:ascii="仿宋" w:eastAsia="仿宋" w:hAnsi="仿宋"/>
          <w:sz w:val="32"/>
          <w:szCs w:val="32"/>
        </w:rPr>
      </w:pPr>
      <w:r>
        <w:rPr>
          <w:rFonts w:ascii="仿宋" w:eastAsia="仿宋" w:hAnsi="仿宋"/>
          <w:sz w:val="32"/>
          <w:szCs w:val="32"/>
        </w:rPr>
        <w:t>（二）运用吉林法院全流程审判监督管理平台</w:t>
      </w:r>
      <w:r w:rsidRPr="00E3355A">
        <w:rPr>
          <w:rFonts w:ascii="仿宋" w:eastAsia="仿宋" w:hAnsi="仿宋"/>
          <w:sz w:val="32"/>
          <w:szCs w:val="32"/>
        </w:rPr>
        <w:t>，加强对“四类案件”</w:t>
      </w:r>
      <w:r>
        <w:rPr>
          <w:rFonts w:ascii="仿宋" w:eastAsia="仿宋" w:hAnsi="仿宋"/>
          <w:sz w:val="32"/>
          <w:szCs w:val="32"/>
        </w:rPr>
        <w:t>的监督管理，</w:t>
      </w:r>
      <w:r>
        <w:rPr>
          <w:rFonts w:ascii="仿宋" w:eastAsia="仿宋" w:hAnsi="仿宋" w:hint="eastAsia"/>
          <w:sz w:val="32"/>
          <w:szCs w:val="32"/>
        </w:rPr>
        <w:t>推行</w:t>
      </w:r>
      <w:r>
        <w:rPr>
          <w:rFonts w:ascii="仿宋" w:eastAsia="仿宋" w:hAnsi="仿宋"/>
          <w:sz w:val="32"/>
          <w:szCs w:val="32"/>
        </w:rPr>
        <w:t>院长、庭长监督管理</w:t>
      </w:r>
      <w:r>
        <w:rPr>
          <w:rFonts w:ascii="仿宋" w:eastAsia="仿宋" w:hAnsi="仿宋" w:hint="eastAsia"/>
          <w:sz w:val="32"/>
          <w:szCs w:val="32"/>
        </w:rPr>
        <w:t>平台应用，实现全程留痕，</w:t>
      </w:r>
      <w:r>
        <w:rPr>
          <w:rFonts w:ascii="仿宋" w:eastAsia="仿宋" w:hAnsi="仿宋"/>
          <w:sz w:val="32"/>
          <w:szCs w:val="32"/>
        </w:rPr>
        <w:t>将案件自立案、分案、审理、结案至归档各环节信息全部纳入审判流程监督管理范畴，确保实现对案件的全流程审判监督管理</w:t>
      </w:r>
      <w:r w:rsidRPr="00E3355A">
        <w:rPr>
          <w:rFonts w:ascii="仿宋" w:eastAsia="仿宋" w:hAnsi="仿宋"/>
          <w:sz w:val="32"/>
          <w:szCs w:val="32"/>
        </w:rPr>
        <w:t>。</w:t>
      </w:r>
    </w:p>
    <w:p w:rsidR="00D83670" w:rsidRDefault="00D83670" w:rsidP="00D83670">
      <w:pPr>
        <w:spacing w:after="0" w:line="360" w:lineRule="auto"/>
        <w:ind w:firstLineChars="200" w:firstLine="640"/>
        <w:jc w:val="both"/>
        <w:rPr>
          <w:rFonts w:ascii="仿宋" w:eastAsia="仿宋" w:hAnsi="仿宋" w:hint="eastAsia"/>
          <w:sz w:val="32"/>
          <w:szCs w:val="32"/>
        </w:rPr>
      </w:pPr>
      <w:r>
        <w:rPr>
          <w:rFonts w:ascii="仿宋" w:eastAsia="仿宋" w:hAnsi="仿宋"/>
          <w:sz w:val="32"/>
          <w:szCs w:val="32"/>
        </w:rPr>
        <w:t>（三）</w:t>
      </w:r>
      <w:r w:rsidRPr="00E3355A">
        <w:rPr>
          <w:rFonts w:ascii="仿宋" w:eastAsia="仿宋" w:hAnsi="仿宋"/>
          <w:sz w:val="32"/>
          <w:szCs w:val="32"/>
        </w:rPr>
        <w:t>进一步深化</w:t>
      </w:r>
      <w:r>
        <w:rPr>
          <w:rFonts w:ascii="仿宋" w:eastAsia="仿宋" w:hAnsi="仿宋"/>
          <w:sz w:val="32"/>
          <w:szCs w:val="32"/>
        </w:rPr>
        <w:t>司法公开</w:t>
      </w:r>
      <w:r w:rsidRPr="00E3355A">
        <w:rPr>
          <w:rFonts w:ascii="仿宋" w:eastAsia="仿宋" w:hAnsi="仿宋"/>
          <w:sz w:val="32"/>
          <w:szCs w:val="32"/>
        </w:rPr>
        <w:t>工作，</w:t>
      </w:r>
      <w:r>
        <w:rPr>
          <w:rFonts w:ascii="仿宋" w:eastAsia="仿宋" w:hAnsi="仿宋"/>
          <w:sz w:val="32"/>
          <w:szCs w:val="32"/>
        </w:rPr>
        <w:t>加大审判流程信息、庭审活动、文书笔录公开，</w:t>
      </w:r>
      <w:r w:rsidRPr="00E3355A">
        <w:rPr>
          <w:rFonts w:ascii="仿宋" w:eastAsia="仿宋" w:hAnsi="仿宋"/>
          <w:sz w:val="32"/>
          <w:szCs w:val="32"/>
        </w:rPr>
        <w:t>坚持公开为原则、不公开为例外，强化当事人及其他诉讼参与人的隐私保护，确定不予公开或者进行技术处理的具体范围和规程。</w:t>
      </w:r>
    </w:p>
    <w:p w:rsidR="00D83670" w:rsidRPr="00D83670" w:rsidRDefault="00D83670" w:rsidP="00D83670">
      <w:pPr>
        <w:spacing w:after="0" w:line="360" w:lineRule="auto"/>
        <w:ind w:firstLineChars="200" w:firstLine="640"/>
        <w:jc w:val="both"/>
        <w:rPr>
          <w:rFonts w:ascii="仿宋" w:eastAsia="仿宋" w:hAnsi="仿宋"/>
          <w:sz w:val="32"/>
          <w:szCs w:val="32"/>
        </w:rPr>
      </w:pPr>
      <w:r w:rsidRPr="00D83670">
        <w:rPr>
          <w:rFonts w:ascii="仿宋" w:eastAsia="仿宋" w:hAnsi="仿宋" w:hint="eastAsia"/>
          <w:sz w:val="32"/>
          <w:szCs w:val="32"/>
        </w:rPr>
        <w:t>（</w:t>
      </w:r>
      <w:r>
        <w:rPr>
          <w:rFonts w:ascii="仿宋" w:eastAsia="仿宋" w:hAnsi="仿宋" w:hint="eastAsia"/>
          <w:sz w:val="32"/>
          <w:szCs w:val="32"/>
        </w:rPr>
        <w:t>四</w:t>
      </w:r>
      <w:r w:rsidRPr="00D83670">
        <w:rPr>
          <w:rFonts w:ascii="仿宋" w:eastAsia="仿宋" w:hAnsi="仿宋" w:hint="eastAsia"/>
          <w:sz w:val="32"/>
          <w:szCs w:val="32"/>
        </w:rPr>
        <w:t>）推进无纸化办案模式</w:t>
      </w:r>
      <w:r>
        <w:rPr>
          <w:rFonts w:ascii="仿宋" w:eastAsia="仿宋" w:hAnsi="仿宋" w:hint="eastAsia"/>
          <w:sz w:val="32"/>
          <w:szCs w:val="32"/>
        </w:rPr>
        <w:t>，</w:t>
      </w:r>
      <w:r w:rsidRPr="00D83670">
        <w:rPr>
          <w:rFonts w:ascii="仿宋" w:eastAsia="仿宋" w:hAnsi="仿宋" w:hint="eastAsia"/>
          <w:sz w:val="32"/>
          <w:szCs w:val="32"/>
        </w:rPr>
        <w:t>无纸化办案是新时代法院审判的重要保障，加快法院信息化进程的关键步骤，推行全流程网上无纸化办案的诉讼环境，法官在庭审过程中翻阅</w:t>
      </w:r>
      <w:r>
        <w:rPr>
          <w:rFonts w:ascii="仿宋" w:eastAsia="仿宋" w:hAnsi="仿宋" w:hint="eastAsia"/>
          <w:sz w:val="32"/>
          <w:szCs w:val="32"/>
        </w:rPr>
        <w:t>电子</w:t>
      </w:r>
      <w:r w:rsidRPr="00D83670">
        <w:rPr>
          <w:rFonts w:ascii="仿宋" w:eastAsia="仿宋" w:hAnsi="仿宋" w:hint="eastAsia"/>
          <w:sz w:val="32"/>
          <w:szCs w:val="32"/>
        </w:rPr>
        <w:t>卷宗查看材料，提高审判效率</w:t>
      </w:r>
      <w:r>
        <w:rPr>
          <w:rFonts w:ascii="仿宋" w:eastAsia="仿宋" w:hAnsi="仿宋" w:hint="eastAsia"/>
          <w:sz w:val="32"/>
          <w:szCs w:val="32"/>
        </w:rPr>
        <w:t>，</w:t>
      </w:r>
      <w:r w:rsidRPr="00D83670">
        <w:rPr>
          <w:rFonts w:ascii="仿宋" w:eastAsia="仿宋" w:hAnsi="仿宋" w:hint="eastAsia"/>
          <w:sz w:val="32"/>
          <w:szCs w:val="32"/>
        </w:rPr>
        <w:t>为人民群众提供更优质的司法服务。</w:t>
      </w:r>
    </w:p>
    <w:p w:rsidR="00D83670" w:rsidRPr="00D83670" w:rsidRDefault="00D83670" w:rsidP="00D83670">
      <w:pPr>
        <w:spacing w:after="0" w:line="360" w:lineRule="auto"/>
        <w:ind w:firstLineChars="200" w:firstLine="640"/>
        <w:jc w:val="both"/>
        <w:rPr>
          <w:rFonts w:ascii="仿宋" w:eastAsia="仿宋" w:hAnsi="仿宋"/>
          <w:sz w:val="32"/>
          <w:szCs w:val="32"/>
        </w:rPr>
      </w:pPr>
    </w:p>
    <w:p w:rsidR="007565F6" w:rsidRPr="00D83670" w:rsidRDefault="007565F6" w:rsidP="00A94BBF">
      <w:pPr>
        <w:spacing w:after="0" w:line="360" w:lineRule="auto"/>
        <w:jc w:val="both"/>
        <w:rPr>
          <w:rFonts w:ascii="仿宋" w:eastAsia="仿宋" w:hAnsi="仿宋"/>
          <w:sz w:val="32"/>
          <w:szCs w:val="32"/>
        </w:rPr>
      </w:pPr>
    </w:p>
    <w:p w:rsidR="007565F6" w:rsidRDefault="007565F6" w:rsidP="00C04342">
      <w:pPr>
        <w:spacing w:after="0" w:line="360" w:lineRule="auto"/>
        <w:ind w:firstLineChars="1900" w:firstLine="6080"/>
        <w:jc w:val="both"/>
        <w:rPr>
          <w:rFonts w:ascii="仿宋" w:eastAsia="仿宋" w:hAnsi="仿宋"/>
          <w:sz w:val="32"/>
          <w:szCs w:val="32"/>
        </w:rPr>
      </w:pPr>
    </w:p>
    <w:p w:rsidR="007565F6" w:rsidRDefault="007565F6" w:rsidP="00C04342">
      <w:pPr>
        <w:spacing w:after="0" w:line="360" w:lineRule="auto"/>
        <w:ind w:firstLineChars="1900" w:firstLine="6080"/>
        <w:jc w:val="both"/>
        <w:rPr>
          <w:rFonts w:ascii="仿宋" w:eastAsia="仿宋" w:hAnsi="仿宋"/>
          <w:sz w:val="32"/>
          <w:szCs w:val="32"/>
        </w:rPr>
      </w:pPr>
    </w:p>
    <w:p w:rsidR="00203706" w:rsidRDefault="00203706" w:rsidP="00C04342">
      <w:pPr>
        <w:spacing w:after="0" w:line="360" w:lineRule="auto"/>
        <w:ind w:firstLineChars="1900" w:firstLine="6080"/>
        <w:jc w:val="both"/>
        <w:rPr>
          <w:rFonts w:ascii="仿宋" w:eastAsia="仿宋" w:hAnsi="仿宋"/>
          <w:sz w:val="32"/>
          <w:szCs w:val="32"/>
        </w:rPr>
      </w:pPr>
      <w:r>
        <w:rPr>
          <w:rFonts w:ascii="仿宋" w:eastAsia="仿宋" w:hAnsi="仿宋" w:hint="eastAsia"/>
          <w:sz w:val="32"/>
          <w:szCs w:val="32"/>
        </w:rPr>
        <w:t>珲春林区基层法院</w:t>
      </w:r>
    </w:p>
    <w:p w:rsidR="00203706" w:rsidRPr="00203706" w:rsidRDefault="00203706" w:rsidP="007B56F5">
      <w:pPr>
        <w:spacing w:after="0" w:line="360" w:lineRule="auto"/>
        <w:ind w:firstLineChars="1850" w:firstLine="5920"/>
        <w:jc w:val="both"/>
        <w:rPr>
          <w:rFonts w:ascii="仿宋" w:eastAsia="仿宋" w:hAnsi="仿宋"/>
          <w:sz w:val="32"/>
          <w:szCs w:val="32"/>
        </w:rPr>
      </w:pPr>
      <w:r>
        <w:rPr>
          <w:rFonts w:ascii="仿宋" w:eastAsia="仿宋" w:hAnsi="仿宋" w:hint="eastAsia"/>
          <w:sz w:val="32"/>
          <w:szCs w:val="32"/>
        </w:rPr>
        <w:t>二</w:t>
      </w:r>
      <w:proofErr w:type="gramStart"/>
      <w:r>
        <w:rPr>
          <w:rFonts w:ascii="仿宋" w:eastAsia="仿宋" w:hAnsi="仿宋" w:hint="eastAsia"/>
          <w:sz w:val="32"/>
          <w:szCs w:val="32"/>
        </w:rPr>
        <w:t>0二</w:t>
      </w:r>
      <w:r w:rsidR="005800E4">
        <w:rPr>
          <w:rFonts w:ascii="仿宋" w:eastAsia="仿宋" w:hAnsi="仿宋" w:hint="eastAsia"/>
          <w:sz w:val="32"/>
          <w:szCs w:val="32"/>
        </w:rPr>
        <w:t>一</w:t>
      </w:r>
      <w:proofErr w:type="gramEnd"/>
      <w:r>
        <w:rPr>
          <w:rFonts w:ascii="仿宋" w:eastAsia="仿宋" w:hAnsi="仿宋" w:hint="eastAsia"/>
          <w:sz w:val="32"/>
          <w:szCs w:val="32"/>
        </w:rPr>
        <w:t>年</w:t>
      </w:r>
      <w:r w:rsidR="00A94BBF">
        <w:rPr>
          <w:rFonts w:ascii="仿宋" w:eastAsia="仿宋" w:hAnsi="仿宋" w:hint="eastAsia"/>
          <w:sz w:val="32"/>
          <w:szCs w:val="32"/>
        </w:rPr>
        <w:t>四</w:t>
      </w:r>
      <w:r w:rsidR="007B56F5">
        <w:rPr>
          <w:rFonts w:ascii="仿宋" w:eastAsia="仿宋" w:hAnsi="仿宋" w:hint="eastAsia"/>
          <w:sz w:val="32"/>
          <w:szCs w:val="32"/>
        </w:rPr>
        <w:t>月</w:t>
      </w:r>
      <w:r w:rsidR="00A94BBF">
        <w:rPr>
          <w:rFonts w:ascii="仿宋" w:eastAsia="仿宋" w:hAnsi="仿宋" w:hint="eastAsia"/>
          <w:sz w:val="32"/>
          <w:szCs w:val="32"/>
        </w:rPr>
        <w:t>一</w:t>
      </w:r>
      <w:r>
        <w:rPr>
          <w:rFonts w:ascii="仿宋" w:eastAsia="仿宋" w:hAnsi="仿宋" w:hint="eastAsia"/>
          <w:sz w:val="32"/>
          <w:szCs w:val="32"/>
        </w:rPr>
        <w:t>日</w:t>
      </w:r>
    </w:p>
    <w:sectPr w:rsidR="00203706" w:rsidRPr="00203706" w:rsidSect="0015632C">
      <w:headerReference w:type="default"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2B0" w:rsidRDefault="002F22B0" w:rsidP="006F22F7">
      <w:pPr>
        <w:spacing w:after="0"/>
      </w:pPr>
      <w:r>
        <w:separator/>
      </w:r>
    </w:p>
  </w:endnote>
  <w:endnote w:type="continuationSeparator" w:id="0">
    <w:p w:rsidR="002F22B0" w:rsidRDefault="002F22B0" w:rsidP="006F22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4439"/>
    </w:sdtPr>
    <w:sdtContent>
      <w:p w:rsidR="00B97C70" w:rsidRDefault="00B6031C">
        <w:pPr>
          <w:pStyle w:val="a5"/>
          <w:jc w:val="center"/>
        </w:pPr>
        <w:r w:rsidRPr="00B6031C">
          <w:fldChar w:fldCharType="begin"/>
        </w:r>
        <w:r w:rsidR="00B97C70">
          <w:instrText xml:space="preserve"> PAGE   \* MERGEFORMAT </w:instrText>
        </w:r>
        <w:r w:rsidRPr="00B6031C">
          <w:fldChar w:fldCharType="separate"/>
        </w:r>
        <w:r w:rsidR="00ED0AFB" w:rsidRPr="00ED0AFB">
          <w:rPr>
            <w:noProof/>
            <w:lang w:val="zh-CN"/>
          </w:rPr>
          <w:t>1</w:t>
        </w:r>
        <w:r>
          <w:rPr>
            <w:lang w:val="zh-CN"/>
          </w:rPr>
          <w:fldChar w:fldCharType="end"/>
        </w:r>
      </w:p>
    </w:sdtContent>
  </w:sdt>
  <w:p w:rsidR="00B97C70" w:rsidRDefault="00B97C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2B0" w:rsidRDefault="002F22B0" w:rsidP="006F22F7">
      <w:pPr>
        <w:spacing w:after="0"/>
      </w:pPr>
      <w:r>
        <w:separator/>
      </w:r>
    </w:p>
  </w:footnote>
  <w:footnote w:type="continuationSeparator" w:id="0">
    <w:p w:rsidR="002F22B0" w:rsidRDefault="002F22B0" w:rsidP="006F22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70" w:rsidRDefault="00B97C70" w:rsidP="00B16F43">
    <w:pPr>
      <w:pStyle w:val="a6"/>
      <w:pBdr>
        <w:bottom w:val="none" w:sz="0" w:space="0"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useFELayout/>
  </w:compat>
  <w:rsids>
    <w:rsidRoot w:val="00D31D50"/>
    <w:rsid w:val="00000C96"/>
    <w:rsid w:val="00002227"/>
    <w:rsid w:val="0000260B"/>
    <w:rsid w:val="00002DD0"/>
    <w:rsid w:val="00006125"/>
    <w:rsid w:val="00013208"/>
    <w:rsid w:val="00015B1E"/>
    <w:rsid w:val="0001603F"/>
    <w:rsid w:val="000178F4"/>
    <w:rsid w:val="00020C88"/>
    <w:rsid w:val="0002130E"/>
    <w:rsid w:val="00022114"/>
    <w:rsid w:val="00023A88"/>
    <w:rsid w:val="000247E1"/>
    <w:rsid w:val="000259F6"/>
    <w:rsid w:val="0002604C"/>
    <w:rsid w:val="00026717"/>
    <w:rsid w:val="00031E27"/>
    <w:rsid w:val="000340D8"/>
    <w:rsid w:val="0003509F"/>
    <w:rsid w:val="00035255"/>
    <w:rsid w:val="0004168F"/>
    <w:rsid w:val="0004312D"/>
    <w:rsid w:val="00046094"/>
    <w:rsid w:val="00047075"/>
    <w:rsid w:val="00047312"/>
    <w:rsid w:val="00050D06"/>
    <w:rsid w:val="0005100B"/>
    <w:rsid w:val="0005208F"/>
    <w:rsid w:val="000531AA"/>
    <w:rsid w:val="00053A8F"/>
    <w:rsid w:val="00053E01"/>
    <w:rsid w:val="00054D5B"/>
    <w:rsid w:val="00057096"/>
    <w:rsid w:val="00063D4C"/>
    <w:rsid w:val="00064B17"/>
    <w:rsid w:val="00064FD7"/>
    <w:rsid w:val="00065BF0"/>
    <w:rsid w:val="000668DA"/>
    <w:rsid w:val="00067E11"/>
    <w:rsid w:val="000725B7"/>
    <w:rsid w:val="00073073"/>
    <w:rsid w:val="00073D3C"/>
    <w:rsid w:val="00074771"/>
    <w:rsid w:val="00075718"/>
    <w:rsid w:val="00083F9D"/>
    <w:rsid w:val="00084C73"/>
    <w:rsid w:val="00086A12"/>
    <w:rsid w:val="000879E8"/>
    <w:rsid w:val="00087C9B"/>
    <w:rsid w:val="00090EA0"/>
    <w:rsid w:val="00091877"/>
    <w:rsid w:val="000942A5"/>
    <w:rsid w:val="00094773"/>
    <w:rsid w:val="00094888"/>
    <w:rsid w:val="00094DD4"/>
    <w:rsid w:val="00095201"/>
    <w:rsid w:val="00096738"/>
    <w:rsid w:val="00097462"/>
    <w:rsid w:val="000976BA"/>
    <w:rsid w:val="000A1307"/>
    <w:rsid w:val="000A4330"/>
    <w:rsid w:val="000A5189"/>
    <w:rsid w:val="000A5FDC"/>
    <w:rsid w:val="000A7B90"/>
    <w:rsid w:val="000B1065"/>
    <w:rsid w:val="000B144A"/>
    <w:rsid w:val="000B14CB"/>
    <w:rsid w:val="000B14FC"/>
    <w:rsid w:val="000B1F19"/>
    <w:rsid w:val="000B33DF"/>
    <w:rsid w:val="000B542B"/>
    <w:rsid w:val="000C1987"/>
    <w:rsid w:val="000C3445"/>
    <w:rsid w:val="000C4A73"/>
    <w:rsid w:val="000C57C5"/>
    <w:rsid w:val="000D001A"/>
    <w:rsid w:val="000D06D6"/>
    <w:rsid w:val="000D4D78"/>
    <w:rsid w:val="000D67BD"/>
    <w:rsid w:val="000D6FA6"/>
    <w:rsid w:val="000E10FE"/>
    <w:rsid w:val="000E2918"/>
    <w:rsid w:val="000E39FF"/>
    <w:rsid w:val="000E4155"/>
    <w:rsid w:val="000E5187"/>
    <w:rsid w:val="000E7BCB"/>
    <w:rsid w:val="000F120A"/>
    <w:rsid w:val="000F297E"/>
    <w:rsid w:val="000F57AB"/>
    <w:rsid w:val="000F65B3"/>
    <w:rsid w:val="001000C3"/>
    <w:rsid w:val="00100F9D"/>
    <w:rsid w:val="0010324C"/>
    <w:rsid w:val="00103469"/>
    <w:rsid w:val="0010358D"/>
    <w:rsid w:val="0010508A"/>
    <w:rsid w:val="00106016"/>
    <w:rsid w:val="00110CF8"/>
    <w:rsid w:val="0011138E"/>
    <w:rsid w:val="0011391A"/>
    <w:rsid w:val="00114BB8"/>
    <w:rsid w:val="0011542F"/>
    <w:rsid w:val="00115A0B"/>
    <w:rsid w:val="00115E62"/>
    <w:rsid w:val="00117DFE"/>
    <w:rsid w:val="00117E35"/>
    <w:rsid w:val="00120AB6"/>
    <w:rsid w:val="00123F63"/>
    <w:rsid w:val="00126569"/>
    <w:rsid w:val="0012659C"/>
    <w:rsid w:val="00127A6D"/>
    <w:rsid w:val="00127ED8"/>
    <w:rsid w:val="001327A1"/>
    <w:rsid w:val="00132E12"/>
    <w:rsid w:val="00133B19"/>
    <w:rsid w:val="00133DB5"/>
    <w:rsid w:val="001345F5"/>
    <w:rsid w:val="00134B18"/>
    <w:rsid w:val="00141D64"/>
    <w:rsid w:val="00150F9E"/>
    <w:rsid w:val="00151BE3"/>
    <w:rsid w:val="00155827"/>
    <w:rsid w:val="0015632C"/>
    <w:rsid w:val="0015748F"/>
    <w:rsid w:val="00160613"/>
    <w:rsid w:val="00161267"/>
    <w:rsid w:val="0016257B"/>
    <w:rsid w:val="001633F2"/>
    <w:rsid w:val="00163DB5"/>
    <w:rsid w:val="001663DB"/>
    <w:rsid w:val="001710D1"/>
    <w:rsid w:val="00176463"/>
    <w:rsid w:val="00177801"/>
    <w:rsid w:val="00177BDA"/>
    <w:rsid w:val="001843C4"/>
    <w:rsid w:val="00184545"/>
    <w:rsid w:val="00186B3D"/>
    <w:rsid w:val="001879B9"/>
    <w:rsid w:val="00187D2D"/>
    <w:rsid w:val="00190982"/>
    <w:rsid w:val="0019487B"/>
    <w:rsid w:val="001A1D17"/>
    <w:rsid w:val="001A5F27"/>
    <w:rsid w:val="001A77A7"/>
    <w:rsid w:val="001B21B7"/>
    <w:rsid w:val="001B273C"/>
    <w:rsid w:val="001B3C91"/>
    <w:rsid w:val="001B4C7A"/>
    <w:rsid w:val="001C1115"/>
    <w:rsid w:val="001C21FC"/>
    <w:rsid w:val="001C3652"/>
    <w:rsid w:val="001C42CD"/>
    <w:rsid w:val="001C470C"/>
    <w:rsid w:val="001C4B20"/>
    <w:rsid w:val="001D1272"/>
    <w:rsid w:val="001D30EC"/>
    <w:rsid w:val="001D3C7A"/>
    <w:rsid w:val="001D42E2"/>
    <w:rsid w:val="001D649B"/>
    <w:rsid w:val="001D720C"/>
    <w:rsid w:val="001E0C10"/>
    <w:rsid w:val="001E1956"/>
    <w:rsid w:val="001E2CBE"/>
    <w:rsid w:val="001E73E5"/>
    <w:rsid w:val="001E7F7B"/>
    <w:rsid w:val="001F0E65"/>
    <w:rsid w:val="001F29ED"/>
    <w:rsid w:val="001F6F6E"/>
    <w:rsid w:val="001F79EA"/>
    <w:rsid w:val="001F7ED1"/>
    <w:rsid w:val="0020049F"/>
    <w:rsid w:val="002017A3"/>
    <w:rsid w:val="00202929"/>
    <w:rsid w:val="00203706"/>
    <w:rsid w:val="00207181"/>
    <w:rsid w:val="0020796D"/>
    <w:rsid w:val="002107D8"/>
    <w:rsid w:val="002114CA"/>
    <w:rsid w:val="00211533"/>
    <w:rsid w:val="00212909"/>
    <w:rsid w:val="00212BFF"/>
    <w:rsid w:val="002135D4"/>
    <w:rsid w:val="00216133"/>
    <w:rsid w:val="002167F6"/>
    <w:rsid w:val="00216AEC"/>
    <w:rsid w:val="00220603"/>
    <w:rsid w:val="00221968"/>
    <w:rsid w:val="00223137"/>
    <w:rsid w:val="00225C02"/>
    <w:rsid w:val="00226BA5"/>
    <w:rsid w:val="002332CC"/>
    <w:rsid w:val="00233628"/>
    <w:rsid w:val="00233DBB"/>
    <w:rsid w:val="00235570"/>
    <w:rsid w:val="0023681C"/>
    <w:rsid w:val="00236EA6"/>
    <w:rsid w:val="00237430"/>
    <w:rsid w:val="002377B7"/>
    <w:rsid w:val="0024194E"/>
    <w:rsid w:val="00243478"/>
    <w:rsid w:val="002437FB"/>
    <w:rsid w:val="00244F2F"/>
    <w:rsid w:val="002453E0"/>
    <w:rsid w:val="00245BD3"/>
    <w:rsid w:val="0025297C"/>
    <w:rsid w:val="00252A7D"/>
    <w:rsid w:val="0025326D"/>
    <w:rsid w:val="002534E5"/>
    <w:rsid w:val="00253C78"/>
    <w:rsid w:val="00254FA9"/>
    <w:rsid w:val="0025730C"/>
    <w:rsid w:val="00257DA3"/>
    <w:rsid w:val="00260332"/>
    <w:rsid w:val="0026076F"/>
    <w:rsid w:val="00263AB9"/>
    <w:rsid w:val="00264E70"/>
    <w:rsid w:val="002652DA"/>
    <w:rsid w:val="0026782A"/>
    <w:rsid w:val="00270ADB"/>
    <w:rsid w:val="00271491"/>
    <w:rsid w:val="002720E9"/>
    <w:rsid w:val="002724B6"/>
    <w:rsid w:val="00273139"/>
    <w:rsid w:val="002734D4"/>
    <w:rsid w:val="00275401"/>
    <w:rsid w:val="002764AF"/>
    <w:rsid w:val="00277473"/>
    <w:rsid w:val="00277737"/>
    <w:rsid w:val="00277B0A"/>
    <w:rsid w:val="00277D08"/>
    <w:rsid w:val="00281219"/>
    <w:rsid w:val="002858A5"/>
    <w:rsid w:val="002876DD"/>
    <w:rsid w:val="0029407C"/>
    <w:rsid w:val="00295B78"/>
    <w:rsid w:val="002A0BF2"/>
    <w:rsid w:val="002A1313"/>
    <w:rsid w:val="002A1801"/>
    <w:rsid w:val="002A7582"/>
    <w:rsid w:val="002B085C"/>
    <w:rsid w:val="002B47E5"/>
    <w:rsid w:val="002C2133"/>
    <w:rsid w:val="002C55BE"/>
    <w:rsid w:val="002C5784"/>
    <w:rsid w:val="002C67D5"/>
    <w:rsid w:val="002C6893"/>
    <w:rsid w:val="002D04E7"/>
    <w:rsid w:val="002D207D"/>
    <w:rsid w:val="002D3B2C"/>
    <w:rsid w:val="002D528E"/>
    <w:rsid w:val="002E12E9"/>
    <w:rsid w:val="002E1B8B"/>
    <w:rsid w:val="002E4166"/>
    <w:rsid w:val="002E60CA"/>
    <w:rsid w:val="002E6E22"/>
    <w:rsid w:val="002E6E66"/>
    <w:rsid w:val="002E702C"/>
    <w:rsid w:val="002E75CE"/>
    <w:rsid w:val="002F22B0"/>
    <w:rsid w:val="002F3891"/>
    <w:rsid w:val="002F3F8F"/>
    <w:rsid w:val="002F49A2"/>
    <w:rsid w:val="002F5B76"/>
    <w:rsid w:val="002F7918"/>
    <w:rsid w:val="002F7AF6"/>
    <w:rsid w:val="0030032F"/>
    <w:rsid w:val="00301600"/>
    <w:rsid w:val="00303B1F"/>
    <w:rsid w:val="00305575"/>
    <w:rsid w:val="00312844"/>
    <w:rsid w:val="00314EE5"/>
    <w:rsid w:val="00317347"/>
    <w:rsid w:val="00320235"/>
    <w:rsid w:val="00323778"/>
    <w:rsid w:val="00323B43"/>
    <w:rsid w:val="00324954"/>
    <w:rsid w:val="003249C4"/>
    <w:rsid w:val="00325949"/>
    <w:rsid w:val="00326AC4"/>
    <w:rsid w:val="00326B28"/>
    <w:rsid w:val="003278F6"/>
    <w:rsid w:val="003304F0"/>
    <w:rsid w:val="00331407"/>
    <w:rsid w:val="00331850"/>
    <w:rsid w:val="00331E3F"/>
    <w:rsid w:val="0033286B"/>
    <w:rsid w:val="003343D8"/>
    <w:rsid w:val="00335D58"/>
    <w:rsid w:val="00336F62"/>
    <w:rsid w:val="003375E9"/>
    <w:rsid w:val="00337A59"/>
    <w:rsid w:val="00341758"/>
    <w:rsid w:val="0034189E"/>
    <w:rsid w:val="003427A4"/>
    <w:rsid w:val="0035008F"/>
    <w:rsid w:val="0035478E"/>
    <w:rsid w:val="00355A16"/>
    <w:rsid w:val="00355A47"/>
    <w:rsid w:val="00357915"/>
    <w:rsid w:val="003600FB"/>
    <w:rsid w:val="00361142"/>
    <w:rsid w:val="00363047"/>
    <w:rsid w:val="00363160"/>
    <w:rsid w:val="003703EC"/>
    <w:rsid w:val="00370C20"/>
    <w:rsid w:val="0037127D"/>
    <w:rsid w:val="00371FA2"/>
    <w:rsid w:val="00374F0B"/>
    <w:rsid w:val="003769DE"/>
    <w:rsid w:val="003771C1"/>
    <w:rsid w:val="003774A3"/>
    <w:rsid w:val="003817BE"/>
    <w:rsid w:val="00384FD7"/>
    <w:rsid w:val="003863DF"/>
    <w:rsid w:val="0038649E"/>
    <w:rsid w:val="00387A44"/>
    <w:rsid w:val="00390CED"/>
    <w:rsid w:val="00391F14"/>
    <w:rsid w:val="0039296B"/>
    <w:rsid w:val="00393DF7"/>
    <w:rsid w:val="003943E1"/>
    <w:rsid w:val="003A1624"/>
    <w:rsid w:val="003A1C8F"/>
    <w:rsid w:val="003A3858"/>
    <w:rsid w:val="003A41AF"/>
    <w:rsid w:val="003A7D82"/>
    <w:rsid w:val="003B1BE9"/>
    <w:rsid w:val="003B506A"/>
    <w:rsid w:val="003B613A"/>
    <w:rsid w:val="003C0F79"/>
    <w:rsid w:val="003C1659"/>
    <w:rsid w:val="003C18EB"/>
    <w:rsid w:val="003C36AC"/>
    <w:rsid w:val="003C4BA4"/>
    <w:rsid w:val="003C7324"/>
    <w:rsid w:val="003D0989"/>
    <w:rsid w:val="003D2115"/>
    <w:rsid w:val="003D31F0"/>
    <w:rsid w:val="003D37D8"/>
    <w:rsid w:val="003D43C1"/>
    <w:rsid w:val="003D6482"/>
    <w:rsid w:val="003D781B"/>
    <w:rsid w:val="003E0908"/>
    <w:rsid w:val="003E164D"/>
    <w:rsid w:val="003E288C"/>
    <w:rsid w:val="003E3151"/>
    <w:rsid w:val="003E357A"/>
    <w:rsid w:val="003E3636"/>
    <w:rsid w:val="003F0B7B"/>
    <w:rsid w:val="003F0D10"/>
    <w:rsid w:val="003F10C1"/>
    <w:rsid w:val="003F11C4"/>
    <w:rsid w:val="003F2A6A"/>
    <w:rsid w:val="003F2EEF"/>
    <w:rsid w:val="003F3F19"/>
    <w:rsid w:val="003F5677"/>
    <w:rsid w:val="003F7F62"/>
    <w:rsid w:val="004000CC"/>
    <w:rsid w:val="00404E4A"/>
    <w:rsid w:val="00406704"/>
    <w:rsid w:val="0040688B"/>
    <w:rsid w:val="00407819"/>
    <w:rsid w:val="0041019A"/>
    <w:rsid w:val="00414BEC"/>
    <w:rsid w:val="00414CA6"/>
    <w:rsid w:val="00414D1E"/>
    <w:rsid w:val="00414F17"/>
    <w:rsid w:val="0041669F"/>
    <w:rsid w:val="004205C1"/>
    <w:rsid w:val="004209D4"/>
    <w:rsid w:val="004227FD"/>
    <w:rsid w:val="00422E46"/>
    <w:rsid w:val="00424AD1"/>
    <w:rsid w:val="00424C97"/>
    <w:rsid w:val="00424FE0"/>
    <w:rsid w:val="00426133"/>
    <w:rsid w:val="004268A2"/>
    <w:rsid w:val="00427F1E"/>
    <w:rsid w:val="0043280F"/>
    <w:rsid w:val="004349EB"/>
    <w:rsid w:val="004358AB"/>
    <w:rsid w:val="00435B4D"/>
    <w:rsid w:val="00435C5F"/>
    <w:rsid w:val="00436079"/>
    <w:rsid w:val="00436AD9"/>
    <w:rsid w:val="0043783A"/>
    <w:rsid w:val="00443E36"/>
    <w:rsid w:val="004515BC"/>
    <w:rsid w:val="00451D9A"/>
    <w:rsid w:val="00451EE6"/>
    <w:rsid w:val="004523EF"/>
    <w:rsid w:val="0045416B"/>
    <w:rsid w:val="0045554F"/>
    <w:rsid w:val="00457333"/>
    <w:rsid w:val="004575E5"/>
    <w:rsid w:val="004608BA"/>
    <w:rsid w:val="00461D02"/>
    <w:rsid w:val="00461F94"/>
    <w:rsid w:val="004620A1"/>
    <w:rsid w:val="00462DBD"/>
    <w:rsid w:val="004630E2"/>
    <w:rsid w:val="004644A6"/>
    <w:rsid w:val="00464890"/>
    <w:rsid w:val="00464E33"/>
    <w:rsid w:val="00466CB4"/>
    <w:rsid w:val="004747E9"/>
    <w:rsid w:val="0047545C"/>
    <w:rsid w:val="00482C1E"/>
    <w:rsid w:val="004842A5"/>
    <w:rsid w:val="00485D22"/>
    <w:rsid w:val="00486926"/>
    <w:rsid w:val="0049188B"/>
    <w:rsid w:val="00493A69"/>
    <w:rsid w:val="00494BE7"/>
    <w:rsid w:val="00495930"/>
    <w:rsid w:val="00495B0F"/>
    <w:rsid w:val="004A0312"/>
    <w:rsid w:val="004A1430"/>
    <w:rsid w:val="004A2966"/>
    <w:rsid w:val="004A439C"/>
    <w:rsid w:val="004A5F4D"/>
    <w:rsid w:val="004A74E1"/>
    <w:rsid w:val="004A76A3"/>
    <w:rsid w:val="004B0B4C"/>
    <w:rsid w:val="004B391C"/>
    <w:rsid w:val="004B5B36"/>
    <w:rsid w:val="004B6848"/>
    <w:rsid w:val="004B6F5C"/>
    <w:rsid w:val="004C0FB0"/>
    <w:rsid w:val="004C1F99"/>
    <w:rsid w:val="004C1FFE"/>
    <w:rsid w:val="004C2B88"/>
    <w:rsid w:val="004C2C8C"/>
    <w:rsid w:val="004C2E70"/>
    <w:rsid w:val="004C4130"/>
    <w:rsid w:val="004C4FEB"/>
    <w:rsid w:val="004C7156"/>
    <w:rsid w:val="004C7648"/>
    <w:rsid w:val="004D0060"/>
    <w:rsid w:val="004D03E0"/>
    <w:rsid w:val="004D1873"/>
    <w:rsid w:val="004D4500"/>
    <w:rsid w:val="004D6A78"/>
    <w:rsid w:val="004E4EAC"/>
    <w:rsid w:val="004E62D0"/>
    <w:rsid w:val="004F0E03"/>
    <w:rsid w:val="004F0F3F"/>
    <w:rsid w:val="004F1C43"/>
    <w:rsid w:val="004F2143"/>
    <w:rsid w:val="004F2186"/>
    <w:rsid w:val="004F3C0A"/>
    <w:rsid w:val="004F5E93"/>
    <w:rsid w:val="004F640D"/>
    <w:rsid w:val="004F763B"/>
    <w:rsid w:val="00501962"/>
    <w:rsid w:val="00505285"/>
    <w:rsid w:val="0050567F"/>
    <w:rsid w:val="0050698B"/>
    <w:rsid w:val="0050731C"/>
    <w:rsid w:val="0051082E"/>
    <w:rsid w:val="00511625"/>
    <w:rsid w:val="00511F4A"/>
    <w:rsid w:val="005121B8"/>
    <w:rsid w:val="00517345"/>
    <w:rsid w:val="00520C95"/>
    <w:rsid w:val="00521993"/>
    <w:rsid w:val="005220AD"/>
    <w:rsid w:val="00523E44"/>
    <w:rsid w:val="00526D5C"/>
    <w:rsid w:val="00530656"/>
    <w:rsid w:val="00532EFE"/>
    <w:rsid w:val="005346A8"/>
    <w:rsid w:val="00534D9A"/>
    <w:rsid w:val="00535439"/>
    <w:rsid w:val="00535670"/>
    <w:rsid w:val="00535AAE"/>
    <w:rsid w:val="0053674D"/>
    <w:rsid w:val="005369DB"/>
    <w:rsid w:val="005412E1"/>
    <w:rsid w:val="005425B8"/>
    <w:rsid w:val="005436DA"/>
    <w:rsid w:val="00543E1F"/>
    <w:rsid w:val="005443C6"/>
    <w:rsid w:val="0054705A"/>
    <w:rsid w:val="005472AD"/>
    <w:rsid w:val="005501F3"/>
    <w:rsid w:val="005515DD"/>
    <w:rsid w:val="005539F0"/>
    <w:rsid w:val="00554480"/>
    <w:rsid w:val="00555227"/>
    <w:rsid w:val="005559F7"/>
    <w:rsid w:val="00556126"/>
    <w:rsid w:val="00562E09"/>
    <w:rsid w:val="00565C55"/>
    <w:rsid w:val="005662AE"/>
    <w:rsid w:val="005705CF"/>
    <w:rsid w:val="00571318"/>
    <w:rsid w:val="00571A8B"/>
    <w:rsid w:val="00571CC6"/>
    <w:rsid w:val="00571CF5"/>
    <w:rsid w:val="00571D32"/>
    <w:rsid w:val="00574E0E"/>
    <w:rsid w:val="00574E75"/>
    <w:rsid w:val="005800E4"/>
    <w:rsid w:val="00580FB7"/>
    <w:rsid w:val="00581160"/>
    <w:rsid w:val="005825E0"/>
    <w:rsid w:val="00582C5E"/>
    <w:rsid w:val="00582CB2"/>
    <w:rsid w:val="00583225"/>
    <w:rsid w:val="00584818"/>
    <w:rsid w:val="0058624A"/>
    <w:rsid w:val="005877F7"/>
    <w:rsid w:val="00587C7B"/>
    <w:rsid w:val="00590218"/>
    <w:rsid w:val="0059316F"/>
    <w:rsid w:val="00593993"/>
    <w:rsid w:val="0059448B"/>
    <w:rsid w:val="00594FF9"/>
    <w:rsid w:val="00595EA6"/>
    <w:rsid w:val="00595F71"/>
    <w:rsid w:val="00597167"/>
    <w:rsid w:val="00597398"/>
    <w:rsid w:val="00597BB0"/>
    <w:rsid w:val="005A085D"/>
    <w:rsid w:val="005A08B4"/>
    <w:rsid w:val="005A0BF9"/>
    <w:rsid w:val="005A18F7"/>
    <w:rsid w:val="005A29BE"/>
    <w:rsid w:val="005A2CD1"/>
    <w:rsid w:val="005A3323"/>
    <w:rsid w:val="005A45CD"/>
    <w:rsid w:val="005A4B49"/>
    <w:rsid w:val="005A552B"/>
    <w:rsid w:val="005A6096"/>
    <w:rsid w:val="005A7DA2"/>
    <w:rsid w:val="005B1D2F"/>
    <w:rsid w:val="005B1D9B"/>
    <w:rsid w:val="005B1F72"/>
    <w:rsid w:val="005B213D"/>
    <w:rsid w:val="005B3C68"/>
    <w:rsid w:val="005B4289"/>
    <w:rsid w:val="005B5560"/>
    <w:rsid w:val="005B6E76"/>
    <w:rsid w:val="005B6F61"/>
    <w:rsid w:val="005B7C68"/>
    <w:rsid w:val="005C116E"/>
    <w:rsid w:val="005C5E1D"/>
    <w:rsid w:val="005C6079"/>
    <w:rsid w:val="005D2E37"/>
    <w:rsid w:val="005D5D27"/>
    <w:rsid w:val="005E0B2D"/>
    <w:rsid w:val="005E1013"/>
    <w:rsid w:val="005E1AF1"/>
    <w:rsid w:val="005E2988"/>
    <w:rsid w:val="005E2B82"/>
    <w:rsid w:val="005E7309"/>
    <w:rsid w:val="005F24E4"/>
    <w:rsid w:val="005F4C43"/>
    <w:rsid w:val="005F5DE4"/>
    <w:rsid w:val="00600482"/>
    <w:rsid w:val="00600ACA"/>
    <w:rsid w:val="00602669"/>
    <w:rsid w:val="00603EF4"/>
    <w:rsid w:val="00604D9B"/>
    <w:rsid w:val="00605686"/>
    <w:rsid w:val="00607152"/>
    <w:rsid w:val="00611D4C"/>
    <w:rsid w:val="00613ED6"/>
    <w:rsid w:val="0061744B"/>
    <w:rsid w:val="006207C5"/>
    <w:rsid w:val="00620EDA"/>
    <w:rsid w:val="00623000"/>
    <w:rsid w:val="006235B4"/>
    <w:rsid w:val="00624F44"/>
    <w:rsid w:val="00625C0B"/>
    <w:rsid w:val="00625F45"/>
    <w:rsid w:val="0062755D"/>
    <w:rsid w:val="00627CB0"/>
    <w:rsid w:val="00627CC9"/>
    <w:rsid w:val="00627E64"/>
    <w:rsid w:val="00630915"/>
    <w:rsid w:val="00632888"/>
    <w:rsid w:val="00634659"/>
    <w:rsid w:val="00636659"/>
    <w:rsid w:val="0063751E"/>
    <w:rsid w:val="00641401"/>
    <w:rsid w:val="006443A1"/>
    <w:rsid w:val="00647416"/>
    <w:rsid w:val="006503CA"/>
    <w:rsid w:val="00651522"/>
    <w:rsid w:val="006542AE"/>
    <w:rsid w:val="00654C0C"/>
    <w:rsid w:val="00655355"/>
    <w:rsid w:val="00655560"/>
    <w:rsid w:val="00655894"/>
    <w:rsid w:val="0065624E"/>
    <w:rsid w:val="0065696E"/>
    <w:rsid w:val="00656B6A"/>
    <w:rsid w:val="00657267"/>
    <w:rsid w:val="00657736"/>
    <w:rsid w:val="00662776"/>
    <w:rsid w:val="0066375B"/>
    <w:rsid w:val="00667A48"/>
    <w:rsid w:val="00667FA3"/>
    <w:rsid w:val="00671F79"/>
    <w:rsid w:val="00673F6B"/>
    <w:rsid w:val="00673F8B"/>
    <w:rsid w:val="0067428C"/>
    <w:rsid w:val="00675305"/>
    <w:rsid w:val="00677363"/>
    <w:rsid w:val="00681DE8"/>
    <w:rsid w:val="00682F59"/>
    <w:rsid w:val="00683181"/>
    <w:rsid w:val="00683585"/>
    <w:rsid w:val="00691450"/>
    <w:rsid w:val="00691AA0"/>
    <w:rsid w:val="00691D75"/>
    <w:rsid w:val="006933AA"/>
    <w:rsid w:val="0069393A"/>
    <w:rsid w:val="006946F3"/>
    <w:rsid w:val="0069591B"/>
    <w:rsid w:val="00696012"/>
    <w:rsid w:val="006A1C3C"/>
    <w:rsid w:val="006A46DF"/>
    <w:rsid w:val="006A4A6C"/>
    <w:rsid w:val="006A52AF"/>
    <w:rsid w:val="006A6B81"/>
    <w:rsid w:val="006A7D87"/>
    <w:rsid w:val="006B1463"/>
    <w:rsid w:val="006B3EA6"/>
    <w:rsid w:val="006B5A3D"/>
    <w:rsid w:val="006B7971"/>
    <w:rsid w:val="006B79F5"/>
    <w:rsid w:val="006C0A59"/>
    <w:rsid w:val="006C220E"/>
    <w:rsid w:val="006C26F3"/>
    <w:rsid w:val="006C3827"/>
    <w:rsid w:val="006C3962"/>
    <w:rsid w:val="006C59C7"/>
    <w:rsid w:val="006C69B0"/>
    <w:rsid w:val="006C7582"/>
    <w:rsid w:val="006D02AB"/>
    <w:rsid w:val="006D042D"/>
    <w:rsid w:val="006D0A60"/>
    <w:rsid w:val="006D0D51"/>
    <w:rsid w:val="006D1BA2"/>
    <w:rsid w:val="006D2335"/>
    <w:rsid w:val="006D28D0"/>
    <w:rsid w:val="006D2E8C"/>
    <w:rsid w:val="006D33E0"/>
    <w:rsid w:val="006D66E2"/>
    <w:rsid w:val="006E184D"/>
    <w:rsid w:val="006E2F3C"/>
    <w:rsid w:val="006E4492"/>
    <w:rsid w:val="006E56E5"/>
    <w:rsid w:val="006E593F"/>
    <w:rsid w:val="006E6AA4"/>
    <w:rsid w:val="006E79D4"/>
    <w:rsid w:val="006F1063"/>
    <w:rsid w:val="006F22F7"/>
    <w:rsid w:val="006F2F04"/>
    <w:rsid w:val="006F3DB5"/>
    <w:rsid w:val="006F43F6"/>
    <w:rsid w:val="006F4CA0"/>
    <w:rsid w:val="006F6B00"/>
    <w:rsid w:val="006F7B25"/>
    <w:rsid w:val="00700221"/>
    <w:rsid w:val="007008B4"/>
    <w:rsid w:val="00700F37"/>
    <w:rsid w:val="0070182C"/>
    <w:rsid w:val="00701DB6"/>
    <w:rsid w:val="0070255C"/>
    <w:rsid w:val="007042E0"/>
    <w:rsid w:val="00710EB2"/>
    <w:rsid w:val="007162F2"/>
    <w:rsid w:val="00720330"/>
    <w:rsid w:val="00721A5B"/>
    <w:rsid w:val="007222E0"/>
    <w:rsid w:val="00724EC6"/>
    <w:rsid w:val="00725034"/>
    <w:rsid w:val="00726099"/>
    <w:rsid w:val="007265B1"/>
    <w:rsid w:val="007303BF"/>
    <w:rsid w:val="007304F6"/>
    <w:rsid w:val="0073205D"/>
    <w:rsid w:val="00733313"/>
    <w:rsid w:val="0074089E"/>
    <w:rsid w:val="00741C62"/>
    <w:rsid w:val="00741F1E"/>
    <w:rsid w:val="00743730"/>
    <w:rsid w:val="00743BAB"/>
    <w:rsid w:val="00745706"/>
    <w:rsid w:val="00746642"/>
    <w:rsid w:val="00747198"/>
    <w:rsid w:val="00747436"/>
    <w:rsid w:val="00747AE0"/>
    <w:rsid w:val="0075047F"/>
    <w:rsid w:val="00752194"/>
    <w:rsid w:val="00753073"/>
    <w:rsid w:val="00754090"/>
    <w:rsid w:val="00754633"/>
    <w:rsid w:val="0075585C"/>
    <w:rsid w:val="007565F6"/>
    <w:rsid w:val="007572C1"/>
    <w:rsid w:val="0076076A"/>
    <w:rsid w:val="007607BD"/>
    <w:rsid w:val="00761107"/>
    <w:rsid w:val="00762D9D"/>
    <w:rsid w:val="00762F2B"/>
    <w:rsid w:val="0076608B"/>
    <w:rsid w:val="00766432"/>
    <w:rsid w:val="007667EF"/>
    <w:rsid w:val="00770CA2"/>
    <w:rsid w:val="00774A45"/>
    <w:rsid w:val="007760A0"/>
    <w:rsid w:val="0078397C"/>
    <w:rsid w:val="00783F53"/>
    <w:rsid w:val="00785417"/>
    <w:rsid w:val="00785C8B"/>
    <w:rsid w:val="00787792"/>
    <w:rsid w:val="00790D85"/>
    <w:rsid w:val="00792A80"/>
    <w:rsid w:val="00792EFE"/>
    <w:rsid w:val="00795FF0"/>
    <w:rsid w:val="0079701E"/>
    <w:rsid w:val="007A145E"/>
    <w:rsid w:val="007A2F9D"/>
    <w:rsid w:val="007A3D01"/>
    <w:rsid w:val="007A4280"/>
    <w:rsid w:val="007A5D8C"/>
    <w:rsid w:val="007B0978"/>
    <w:rsid w:val="007B43D4"/>
    <w:rsid w:val="007B4ACC"/>
    <w:rsid w:val="007B56F5"/>
    <w:rsid w:val="007B69BF"/>
    <w:rsid w:val="007C06A7"/>
    <w:rsid w:val="007C2166"/>
    <w:rsid w:val="007C6B9D"/>
    <w:rsid w:val="007C7CE6"/>
    <w:rsid w:val="007D0DE1"/>
    <w:rsid w:val="007D3241"/>
    <w:rsid w:val="007D61D6"/>
    <w:rsid w:val="007D7AD1"/>
    <w:rsid w:val="007D7CA1"/>
    <w:rsid w:val="007E4E36"/>
    <w:rsid w:val="007E5308"/>
    <w:rsid w:val="007E7CC3"/>
    <w:rsid w:val="007F008E"/>
    <w:rsid w:val="007F107F"/>
    <w:rsid w:val="007F24C1"/>
    <w:rsid w:val="007F25F4"/>
    <w:rsid w:val="007F3A96"/>
    <w:rsid w:val="007F3F7F"/>
    <w:rsid w:val="007F54C6"/>
    <w:rsid w:val="007F63DF"/>
    <w:rsid w:val="007F6B72"/>
    <w:rsid w:val="007F6E52"/>
    <w:rsid w:val="007F72B7"/>
    <w:rsid w:val="00800068"/>
    <w:rsid w:val="0080184F"/>
    <w:rsid w:val="00801FBF"/>
    <w:rsid w:val="008029E3"/>
    <w:rsid w:val="0080470F"/>
    <w:rsid w:val="00804AB0"/>
    <w:rsid w:val="0080529A"/>
    <w:rsid w:val="00805C93"/>
    <w:rsid w:val="008079EE"/>
    <w:rsid w:val="00810334"/>
    <w:rsid w:val="00810555"/>
    <w:rsid w:val="00811191"/>
    <w:rsid w:val="00812A19"/>
    <w:rsid w:val="00814965"/>
    <w:rsid w:val="0081700F"/>
    <w:rsid w:val="008207AD"/>
    <w:rsid w:val="008212C7"/>
    <w:rsid w:val="0082209F"/>
    <w:rsid w:val="00822552"/>
    <w:rsid w:val="008233C4"/>
    <w:rsid w:val="0082384B"/>
    <w:rsid w:val="0082730F"/>
    <w:rsid w:val="00830B28"/>
    <w:rsid w:val="00831301"/>
    <w:rsid w:val="008315A1"/>
    <w:rsid w:val="00835B9C"/>
    <w:rsid w:val="00841F68"/>
    <w:rsid w:val="00842387"/>
    <w:rsid w:val="008435CF"/>
    <w:rsid w:val="00845E04"/>
    <w:rsid w:val="00847295"/>
    <w:rsid w:val="00851B83"/>
    <w:rsid w:val="008526D5"/>
    <w:rsid w:val="008532C6"/>
    <w:rsid w:val="00853342"/>
    <w:rsid w:val="0085398B"/>
    <w:rsid w:val="00855707"/>
    <w:rsid w:val="00855A6A"/>
    <w:rsid w:val="00856F67"/>
    <w:rsid w:val="00860997"/>
    <w:rsid w:val="00860CB8"/>
    <w:rsid w:val="008636C7"/>
    <w:rsid w:val="00863B14"/>
    <w:rsid w:val="0086612C"/>
    <w:rsid w:val="00866FA2"/>
    <w:rsid w:val="00872AFE"/>
    <w:rsid w:val="0087418A"/>
    <w:rsid w:val="008748BB"/>
    <w:rsid w:val="00875A97"/>
    <w:rsid w:val="008764DA"/>
    <w:rsid w:val="00876B9D"/>
    <w:rsid w:val="00877839"/>
    <w:rsid w:val="00880870"/>
    <w:rsid w:val="00880E39"/>
    <w:rsid w:val="00881809"/>
    <w:rsid w:val="00882E81"/>
    <w:rsid w:val="00882FB6"/>
    <w:rsid w:val="00883485"/>
    <w:rsid w:val="00886436"/>
    <w:rsid w:val="00891A85"/>
    <w:rsid w:val="00893707"/>
    <w:rsid w:val="00895315"/>
    <w:rsid w:val="0089703C"/>
    <w:rsid w:val="008A0AF5"/>
    <w:rsid w:val="008A3669"/>
    <w:rsid w:val="008A3B84"/>
    <w:rsid w:val="008A3D72"/>
    <w:rsid w:val="008A6FC4"/>
    <w:rsid w:val="008B0950"/>
    <w:rsid w:val="008B1D1F"/>
    <w:rsid w:val="008B3D4E"/>
    <w:rsid w:val="008B7726"/>
    <w:rsid w:val="008C0EC3"/>
    <w:rsid w:val="008C2666"/>
    <w:rsid w:val="008C476C"/>
    <w:rsid w:val="008C588F"/>
    <w:rsid w:val="008C5A2E"/>
    <w:rsid w:val="008C6477"/>
    <w:rsid w:val="008C708B"/>
    <w:rsid w:val="008D106C"/>
    <w:rsid w:val="008D22AC"/>
    <w:rsid w:val="008D3832"/>
    <w:rsid w:val="008D3C38"/>
    <w:rsid w:val="008D607D"/>
    <w:rsid w:val="008D6481"/>
    <w:rsid w:val="008D6902"/>
    <w:rsid w:val="008D71D6"/>
    <w:rsid w:val="008E1524"/>
    <w:rsid w:val="008F2EED"/>
    <w:rsid w:val="008F35C4"/>
    <w:rsid w:val="008F3845"/>
    <w:rsid w:val="008F4A40"/>
    <w:rsid w:val="008F64D6"/>
    <w:rsid w:val="008F7122"/>
    <w:rsid w:val="008F77C1"/>
    <w:rsid w:val="00900C6C"/>
    <w:rsid w:val="00901335"/>
    <w:rsid w:val="00901EBF"/>
    <w:rsid w:val="009056A5"/>
    <w:rsid w:val="0091089E"/>
    <w:rsid w:val="00912538"/>
    <w:rsid w:val="00913C98"/>
    <w:rsid w:val="00913D8D"/>
    <w:rsid w:val="0091615C"/>
    <w:rsid w:val="009161B3"/>
    <w:rsid w:val="0092053F"/>
    <w:rsid w:val="00921662"/>
    <w:rsid w:val="00922197"/>
    <w:rsid w:val="00923E70"/>
    <w:rsid w:val="009242EA"/>
    <w:rsid w:val="009263E5"/>
    <w:rsid w:val="0092668D"/>
    <w:rsid w:val="00926BE8"/>
    <w:rsid w:val="00934018"/>
    <w:rsid w:val="00936D19"/>
    <w:rsid w:val="00940B2A"/>
    <w:rsid w:val="00940FDC"/>
    <w:rsid w:val="00941B16"/>
    <w:rsid w:val="00942C0F"/>
    <w:rsid w:val="00943699"/>
    <w:rsid w:val="00945B5F"/>
    <w:rsid w:val="00945C8D"/>
    <w:rsid w:val="0094760A"/>
    <w:rsid w:val="0094792F"/>
    <w:rsid w:val="00947BD5"/>
    <w:rsid w:val="00951C82"/>
    <w:rsid w:val="00951CDF"/>
    <w:rsid w:val="00952473"/>
    <w:rsid w:val="00952901"/>
    <w:rsid w:val="00954B21"/>
    <w:rsid w:val="00954D7C"/>
    <w:rsid w:val="0095542B"/>
    <w:rsid w:val="00960A2A"/>
    <w:rsid w:val="00962826"/>
    <w:rsid w:val="00962D16"/>
    <w:rsid w:val="00965BEF"/>
    <w:rsid w:val="00970B69"/>
    <w:rsid w:val="00970BBC"/>
    <w:rsid w:val="00974A05"/>
    <w:rsid w:val="00975AE1"/>
    <w:rsid w:val="00976DD8"/>
    <w:rsid w:val="00977EAF"/>
    <w:rsid w:val="00980D1F"/>
    <w:rsid w:val="00982D9F"/>
    <w:rsid w:val="00983C38"/>
    <w:rsid w:val="00985543"/>
    <w:rsid w:val="00985C5F"/>
    <w:rsid w:val="009863E8"/>
    <w:rsid w:val="00991958"/>
    <w:rsid w:val="009919E2"/>
    <w:rsid w:val="00991BE9"/>
    <w:rsid w:val="00993C49"/>
    <w:rsid w:val="00994A2F"/>
    <w:rsid w:val="0099573F"/>
    <w:rsid w:val="00995BA2"/>
    <w:rsid w:val="009A143C"/>
    <w:rsid w:val="009A169F"/>
    <w:rsid w:val="009A2AC1"/>
    <w:rsid w:val="009A3854"/>
    <w:rsid w:val="009A4300"/>
    <w:rsid w:val="009A509F"/>
    <w:rsid w:val="009A52EE"/>
    <w:rsid w:val="009A7D84"/>
    <w:rsid w:val="009B33C2"/>
    <w:rsid w:val="009B3704"/>
    <w:rsid w:val="009B4EF3"/>
    <w:rsid w:val="009B51A2"/>
    <w:rsid w:val="009B5F5D"/>
    <w:rsid w:val="009C0B9A"/>
    <w:rsid w:val="009C3E21"/>
    <w:rsid w:val="009C55CA"/>
    <w:rsid w:val="009C59E0"/>
    <w:rsid w:val="009C5CA7"/>
    <w:rsid w:val="009C64CB"/>
    <w:rsid w:val="009D1431"/>
    <w:rsid w:val="009D1D51"/>
    <w:rsid w:val="009D2EF1"/>
    <w:rsid w:val="009D54B2"/>
    <w:rsid w:val="009D5558"/>
    <w:rsid w:val="009D5EA9"/>
    <w:rsid w:val="009D6C23"/>
    <w:rsid w:val="009D7E8F"/>
    <w:rsid w:val="009E02E1"/>
    <w:rsid w:val="009E17C5"/>
    <w:rsid w:val="009E1CE3"/>
    <w:rsid w:val="009E235A"/>
    <w:rsid w:val="009E3CD9"/>
    <w:rsid w:val="009E6BA0"/>
    <w:rsid w:val="009E7CDC"/>
    <w:rsid w:val="009E7FC2"/>
    <w:rsid w:val="009F1454"/>
    <w:rsid w:val="009F1937"/>
    <w:rsid w:val="009F1F35"/>
    <w:rsid w:val="009F223B"/>
    <w:rsid w:val="009F27C7"/>
    <w:rsid w:val="009F343B"/>
    <w:rsid w:val="009F7DA6"/>
    <w:rsid w:val="00A00759"/>
    <w:rsid w:val="00A028A4"/>
    <w:rsid w:val="00A02A2F"/>
    <w:rsid w:val="00A02A9D"/>
    <w:rsid w:val="00A02B18"/>
    <w:rsid w:val="00A02DE3"/>
    <w:rsid w:val="00A05335"/>
    <w:rsid w:val="00A057B6"/>
    <w:rsid w:val="00A064CA"/>
    <w:rsid w:val="00A078DF"/>
    <w:rsid w:val="00A11862"/>
    <w:rsid w:val="00A13D08"/>
    <w:rsid w:val="00A20D54"/>
    <w:rsid w:val="00A20E98"/>
    <w:rsid w:val="00A21070"/>
    <w:rsid w:val="00A2221E"/>
    <w:rsid w:val="00A241E2"/>
    <w:rsid w:val="00A24F76"/>
    <w:rsid w:val="00A305D5"/>
    <w:rsid w:val="00A31128"/>
    <w:rsid w:val="00A31A80"/>
    <w:rsid w:val="00A31E1F"/>
    <w:rsid w:val="00A33016"/>
    <w:rsid w:val="00A3669E"/>
    <w:rsid w:val="00A370F8"/>
    <w:rsid w:val="00A4086B"/>
    <w:rsid w:val="00A425EC"/>
    <w:rsid w:val="00A427B3"/>
    <w:rsid w:val="00A42872"/>
    <w:rsid w:val="00A4356A"/>
    <w:rsid w:val="00A4647E"/>
    <w:rsid w:val="00A5041C"/>
    <w:rsid w:val="00A52F03"/>
    <w:rsid w:val="00A52F13"/>
    <w:rsid w:val="00A546CC"/>
    <w:rsid w:val="00A561FB"/>
    <w:rsid w:val="00A57151"/>
    <w:rsid w:val="00A57E44"/>
    <w:rsid w:val="00A62037"/>
    <w:rsid w:val="00A6274E"/>
    <w:rsid w:val="00A667AD"/>
    <w:rsid w:val="00A716F9"/>
    <w:rsid w:val="00A7476E"/>
    <w:rsid w:val="00A75A14"/>
    <w:rsid w:val="00A7614B"/>
    <w:rsid w:val="00A84186"/>
    <w:rsid w:val="00A84628"/>
    <w:rsid w:val="00A86C35"/>
    <w:rsid w:val="00A87024"/>
    <w:rsid w:val="00A870DF"/>
    <w:rsid w:val="00A94BBF"/>
    <w:rsid w:val="00A95108"/>
    <w:rsid w:val="00A97415"/>
    <w:rsid w:val="00A97937"/>
    <w:rsid w:val="00A97D16"/>
    <w:rsid w:val="00AA07D4"/>
    <w:rsid w:val="00AA0A0C"/>
    <w:rsid w:val="00AA5A02"/>
    <w:rsid w:val="00AA7FD9"/>
    <w:rsid w:val="00AB050A"/>
    <w:rsid w:val="00AB338D"/>
    <w:rsid w:val="00AB4BBE"/>
    <w:rsid w:val="00AB571F"/>
    <w:rsid w:val="00AC019B"/>
    <w:rsid w:val="00AC1E18"/>
    <w:rsid w:val="00AC336F"/>
    <w:rsid w:val="00AC33B1"/>
    <w:rsid w:val="00AC375B"/>
    <w:rsid w:val="00AD6AAE"/>
    <w:rsid w:val="00AE5E6F"/>
    <w:rsid w:val="00AE6944"/>
    <w:rsid w:val="00AF1500"/>
    <w:rsid w:val="00AF155D"/>
    <w:rsid w:val="00AF25D8"/>
    <w:rsid w:val="00AF285E"/>
    <w:rsid w:val="00AF2FDC"/>
    <w:rsid w:val="00AF4A10"/>
    <w:rsid w:val="00AF5513"/>
    <w:rsid w:val="00AF5D6E"/>
    <w:rsid w:val="00AF797E"/>
    <w:rsid w:val="00B00145"/>
    <w:rsid w:val="00B005A4"/>
    <w:rsid w:val="00B02356"/>
    <w:rsid w:val="00B02EEA"/>
    <w:rsid w:val="00B036B6"/>
    <w:rsid w:val="00B03921"/>
    <w:rsid w:val="00B03DEE"/>
    <w:rsid w:val="00B03F8B"/>
    <w:rsid w:val="00B04C01"/>
    <w:rsid w:val="00B06CF7"/>
    <w:rsid w:val="00B06F3A"/>
    <w:rsid w:val="00B077C8"/>
    <w:rsid w:val="00B07B68"/>
    <w:rsid w:val="00B1392E"/>
    <w:rsid w:val="00B14FC1"/>
    <w:rsid w:val="00B160FD"/>
    <w:rsid w:val="00B168B4"/>
    <w:rsid w:val="00B16F43"/>
    <w:rsid w:val="00B171BD"/>
    <w:rsid w:val="00B22629"/>
    <w:rsid w:val="00B23935"/>
    <w:rsid w:val="00B23B7A"/>
    <w:rsid w:val="00B25FB0"/>
    <w:rsid w:val="00B25FDC"/>
    <w:rsid w:val="00B263BC"/>
    <w:rsid w:val="00B26B53"/>
    <w:rsid w:val="00B31EAE"/>
    <w:rsid w:val="00B32C44"/>
    <w:rsid w:val="00B340BE"/>
    <w:rsid w:val="00B40482"/>
    <w:rsid w:val="00B4071F"/>
    <w:rsid w:val="00B4148E"/>
    <w:rsid w:val="00B443FF"/>
    <w:rsid w:val="00B4492E"/>
    <w:rsid w:val="00B45390"/>
    <w:rsid w:val="00B4588A"/>
    <w:rsid w:val="00B463F0"/>
    <w:rsid w:val="00B46ADB"/>
    <w:rsid w:val="00B513A6"/>
    <w:rsid w:val="00B52037"/>
    <w:rsid w:val="00B52436"/>
    <w:rsid w:val="00B53611"/>
    <w:rsid w:val="00B54B5A"/>
    <w:rsid w:val="00B54E45"/>
    <w:rsid w:val="00B6031C"/>
    <w:rsid w:val="00B60ED9"/>
    <w:rsid w:val="00B640E2"/>
    <w:rsid w:val="00B64A76"/>
    <w:rsid w:val="00B65855"/>
    <w:rsid w:val="00B66DAA"/>
    <w:rsid w:val="00B67714"/>
    <w:rsid w:val="00B703EE"/>
    <w:rsid w:val="00B71465"/>
    <w:rsid w:val="00B7173A"/>
    <w:rsid w:val="00B753DA"/>
    <w:rsid w:val="00B76D7F"/>
    <w:rsid w:val="00B80948"/>
    <w:rsid w:val="00B8279A"/>
    <w:rsid w:val="00B82E7D"/>
    <w:rsid w:val="00B84698"/>
    <w:rsid w:val="00B90FCD"/>
    <w:rsid w:val="00B914F3"/>
    <w:rsid w:val="00B91844"/>
    <w:rsid w:val="00B92603"/>
    <w:rsid w:val="00B935D6"/>
    <w:rsid w:val="00B94EE6"/>
    <w:rsid w:val="00B9511B"/>
    <w:rsid w:val="00B957C0"/>
    <w:rsid w:val="00B971CE"/>
    <w:rsid w:val="00B97C70"/>
    <w:rsid w:val="00BA0CAF"/>
    <w:rsid w:val="00BA155D"/>
    <w:rsid w:val="00BA1B5F"/>
    <w:rsid w:val="00BA3F0E"/>
    <w:rsid w:val="00BA4040"/>
    <w:rsid w:val="00BA55C2"/>
    <w:rsid w:val="00BA5CD9"/>
    <w:rsid w:val="00BA73DC"/>
    <w:rsid w:val="00BB2290"/>
    <w:rsid w:val="00BB3B0B"/>
    <w:rsid w:val="00BB73E4"/>
    <w:rsid w:val="00BC0635"/>
    <w:rsid w:val="00BC2A0C"/>
    <w:rsid w:val="00BC368B"/>
    <w:rsid w:val="00BC62A8"/>
    <w:rsid w:val="00BC7442"/>
    <w:rsid w:val="00BD0873"/>
    <w:rsid w:val="00BD0A2D"/>
    <w:rsid w:val="00BD107D"/>
    <w:rsid w:val="00BD4D5D"/>
    <w:rsid w:val="00BD5EC7"/>
    <w:rsid w:val="00BD6124"/>
    <w:rsid w:val="00BD670E"/>
    <w:rsid w:val="00BD7C17"/>
    <w:rsid w:val="00BD7F52"/>
    <w:rsid w:val="00BE0D3D"/>
    <w:rsid w:val="00BE1C7E"/>
    <w:rsid w:val="00BE247B"/>
    <w:rsid w:val="00BE3AFB"/>
    <w:rsid w:val="00BE4EF4"/>
    <w:rsid w:val="00BE6BDC"/>
    <w:rsid w:val="00BE772E"/>
    <w:rsid w:val="00BF24C6"/>
    <w:rsid w:val="00BF2E5C"/>
    <w:rsid w:val="00BF324D"/>
    <w:rsid w:val="00BF34C8"/>
    <w:rsid w:val="00BF6BB7"/>
    <w:rsid w:val="00BF784C"/>
    <w:rsid w:val="00C00F16"/>
    <w:rsid w:val="00C0191E"/>
    <w:rsid w:val="00C02846"/>
    <w:rsid w:val="00C04342"/>
    <w:rsid w:val="00C05A2E"/>
    <w:rsid w:val="00C05EDB"/>
    <w:rsid w:val="00C0698C"/>
    <w:rsid w:val="00C109A4"/>
    <w:rsid w:val="00C11CAC"/>
    <w:rsid w:val="00C13542"/>
    <w:rsid w:val="00C1439A"/>
    <w:rsid w:val="00C14455"/>
    <w:rsid w:val="00C159EE"/>
    <w:rsid w:val="00C20718"/>
    <w:rsid w:val="00C23823"/>
    <w:rsid w:val="00C26029"/>
    <w:rsid w:val="00C27548"/>
    <w:rsid w:val="00C31860"/>
    <w:rsid w:val="00C3195B"/>
    <w:rsid w:val="00C328FF"/>
    <w:rsid w:val="00C35B94"/>
    <w:rsid w:val="00C37AE2"/>
    <w:rsid w:val="00C418CD"/>
    <w:rsid w:val="00C472B8"/>
    <w:rsid w:val="00C52E83"/>
    <w:rsid w:val="00C52F20"/>
    <w:rsid w:val="00C57D8F"/>
    <w:rsid w:val="00C614F3"/>
    <w:rsid w:val="00C63755"/>
    <w:rsid w:val="00C6450E"/>
    <w:rsid w:val="00C651DE"/>
    <w:rsid w:val="00C67E64"/>
    <w:rsid w:val="00C7082E"/>
    <w:rsid w:val="00C70A91"/>
    <w:rsid w:val="00C70F25"/>
    <w:rsid w:val="00C717A5"/>
    <w:rsid w:val="00C72917"/>
    <w:rsid w:val="00C734DF"/>
    <w:rsid w:val="00C74A04"/>
    <w:rsid w:val="00C758C8"/>
    <w:rsid w:val="00C77FD1"/>
    <w:rsid w:val="00C80230"/>
    <w:rsid w:val="00C80CF9"/>
    <w:rsid w:val="00C85621"/>
    <w:rsid w:val="00C868B2"/>
    <w:rsid w:val="00C8756A"/>
    <w:rsid w:val="00C91408"/>
    <w:rsid w:val="00C93670"/>
    <w:rsid w:val="00C9507E"/>
    <w:rsid w:val="00C96399"/>
    <w:rsid w:val="00C967F1"/>
    <w:rsid w:val="00C96F58"/>
    <w:rsid w:val="00C97B36"/>
    <w:rsid w:val="00CA0958"/>
    <w:rsid w:val="00CA0A9F"/>
    <w:rsid w:val="00CA0E80"/>
    <w:rsid w:val="00CA152F"/>
    <w:rsid w:val="00CA1CF9"/>
    <w:rsid w:val="00CA40BE"/>
    <w:rsid w:val="00CA497D"/>
    <w:rsid w:val="00CA5739"/>
    <w:rsid w:val="00CA6331"/>
    <w:rsid w:val="00CA6FA5"/>
    <w:rsid w:val="00CA7649"/>
    <w:rsid w:val="00CB060B"/>
    <w:rsid w:val="00CB07EB"/>
    <w:rsid w:val="00CB1C5C"/>
    <w:rsid w:val="00CB494F"/>
    <w:rsid w:val="00CB533E"/>
    <w:rsid w:val="00CB5B02"/>
    <w:rsid w:val="00CB67DB"/>
    <w:rsid w:val="00CB71E0"/>
    <w:rsid w:val="00CB772E"/>
    <w:rsid w:val="00CB7D77"/>
    <w:rsid w:val="00CC10E5"/>
    <w:rsid w:val="00CC1AE9"/>
    <w:rsid w:val="00CC1C9A"/>
    <w:rsid w:val="00CC1D69"/>
    <w:rsid w:val="00CC31D8"/>
    <w:rsid w:val="00CC3639"/>
    <w:rsid w:val="00CC393A"/>
    <w:rsid w:val="00CC396C"/>
    <w:rsid w:val="00CC5410"/>
    <w:rsid w:val="00CC67A9"/>
    <w:rsid w:val="00CD3846"/>
    <w:rsid w:val="00CD3A45"/>
    <w:rsid w:val="00CD57E3"/>
    <w:rsid w:val="00CD5D18"/>
    <w:rsid w:val="00CD7DF3"/>
    <w:rsid w:val="00CE0C08"/>
    <w:rsid w:val="00CE4E7F"/>
    <w:rsid w:val="00CE559F"/>
    <w:rsid w:val="00CF3E69"/>
    <w:rsid w:val="00CF72CB"/>
    <w:rsid w:val="00CF739B"/>
    <w:rsid w:val="00D04E69"/>
    <w:rsid w:val="00D05FF5"/>
    <w:rsid w:val="00D10343"/>
    <w:rsid w:val="00D116A4"/>
    <w:rsid w:val="00D12764"/>
    <w:rsid w:val="00D12BBF"/>
    <w:rsid w:val="00D150CD"/>
    <w:rsid w:val="00D1742F"/>
    <w:rsid w:val="00D175D0"/>
    <w:rsid w:val="00D1782C"/>
    <w:rsid w:val="00D17C39"/>
    <w:rsid w:val="00D202BD"/>
    <w:rsid w:val="00D204E0"/>
    <w:rsid w:val="00D2070F"/>
    <w:rsid w:val="00D2120D"/>
    <w:rsid w:val="00D21CCE"/>
    <w:rsid w:val="00D222B5"/>
    <w:rsid w:val="00D22728"/>
    <w:rsid w:val="00D23935"/>
    <w:rsid w:val="00D27ECA"/>
    <w:rsid w:val="00D30CF3"/>
    <w:rsid w:val="00D31C8E"/>
    <w:rsid w:val="00D31D50"/>
    <w:rsid w:val="00D33849"/>
    <w:rsid w:val="00D3440F"/>
    <w:rsid w:val="00D367C7"/>
    <w:rsid w:val="00D36DA6"/>
    <w:rsid w:val="00D4559D"/>
    <w:rsid w:val="00D45790"/>
    <w:rsid w:val="00D50671"/>
    <w:rsid w:val="00D51585"/>
    <w:rsid w:val="00D51FBF"/>
    <w:rsid w:val="00D523B8"/>
    <w:rsid w:val="00D60054"/>
    <w:rsid w:val="00D60DA2"/>
    <w:rsid w:val="00D6316D"/>
    <w:rsid w:val="00D64FA9"/>
    <w:rsid w:val="00D6536E"/>
    <w:rsid w:val="00D66543"/>
    <w:rsid w:val="00D70AC7"/>
    <w:rsid w:val="00D70C46"/>
    <w:rsid w:val="00D75C0A"/>
    <w:rsid w:val="00D808FF"/>
    <w:rsid w:val="00D814C1"/>
    <w:rsid w:val="00D8241D"/>
    <w:rsid w:val="00D83670"/>
    <w:rsid w:val="00D85FC9"/>
    <w:rsid w:val="00D926DE"/>
    <w:rsid w:val="00D93779"/>
    <w:rsid w:val="00D94FE1"/>
    <w:rsid w:val="00D962E4"/>
    <w:rsid w:val="00D97861"/>
    <w:rsid w:val="00D97FBB"/>
    <w:rsid w:val="00DA1A6E"/>
    <w:rsid w:val="00DA1BF7"/>
    <w:rsid w:val="00DA2941"/>
    <w:rsid w:val="00DA2C64"/>
    <w:rsid w:val="00DA4F7E"/>
    <w:rsid w:val="00DB10AC"/>
    <w:rsid w:val="00DB4395"/>
    <w:rsid w:val="00DB5DFA"/>
    <w:rsid w:val="00DB60B9"/>
    <w:rsid w:val="00DB7351"/>
    <w:rsid w:val="00DC2380"/>
    <w:rsid w:val="00DC2946"/>
    <w:rsid w:val="00DC3F31"/>
    <w:rsid w:val="00DC4F4C"/>
    <w:rsid w:val="00DC55DB"/>
    <w:rsid w:val="00DC5DE6"/>
    <w:rsid w:val="00DC6650"/>
    <w:rsid w:val="00DC722B"/>
    <w:rsid w:val="00DD195B"/>
    <w:rsid w:val="00DD2151"/>
    <w:rsid w:val="00DD4EF4"/>
    <w:rsid w:val="00DD4F6E"/>
    <w:rsid w:val="00DD7476"/>
    <w:rsid w:val="00DE1490"/>
    <w:rsid w:val="00DE2469"/>
    <w:rsid w:val="00DE2743"/>
    <w:rsid w:val="00DE2899"/>
    <w:rsid w:val="00DE5D16"/>
    <w:rsid w:val="00DE5EAC"/>
    <w:rsid w:val="00DE75FA"/>
    <w:rsid w:val="00DF104C"/>
    <w:rsid w:val="00DF28A4"/>
    <w:rsid w:val="00DF57F0"/>
    <w:rsid w:val="00DF767C"/>
    <w:rsid w:val="00E01858"/>
    <w:rsid w:val="00E02523"/>
    <w:rsid w:val="00E03E18"/>
    <w:rsid w:val="00E07016"/>
    <w:rsid w:val="00E07102"/>
    <w:rsid w:val="00E11AB9"/>
    <w:rsid w:val="00E120CC"/>
    <w:rsid w:val="00E147D2"/>
    <w:rsid w:val="00E15233"/>
    <w:rsid w:val="00E15BBF"/>
    <w:rsid w:val="00E161CF"/>
    <w:rsid w:val="00E179F4"/>
    <w:rsid w:val="00E21BC5"/>
    <w:rsid w:val="00E24F77"/>
    <w:rsid w:val="00E30F58"/>
    <w:rsid w:val="00E31054"/>
    <w:rsid w:val="00E31AB0"/>
    <w:rsid w:val="00E3355A"/>
    <w:rsid w:val="00E33C07"/>
    <w:rsid w:val="00E33F56"/>
    <w:rsid w:val="00E341F6"/>
    <w:rsid w:val="00E3473E"/>
    <w:rsid w:val="00E34B27"/>
    <w:rsid w:val="00E363F5"/>
    <w:rsid w:val="00E40271"/>
    <w:rsid w:val="00E405ED"/>
    <w:rsid w:val="00E473C0"/>
    <w:rsid w:val="00E47678"/>
    <w:rsid w:val="00E5133D"/>
    <w:rsid w:val="00E53331"/>
    <w:rsid w:val="00E5357C"/>
    <w:rsid w:val="00E53B5E"/>
    <w:rsid w:val="00E53FB5"/>
    <w:rsid w:val="00E55F23"/>
    <w:rsid w:val="00E60CEC"/>
    <w:rsid w:val="00E61EB3"/>
    <w:rsid w:val="00E65266"/>
    <w:rsid w:val="00E65A93"/>
    <w:rsid w:val="00E67C22"/>
    <w:rsid w:val="00E739B4"/>
    <w:rsid w:val="00E80616"/>
    <w:rsid w:val="00E80805"/>
    <w:rsid w:val="00E87A93"/>
    <w:rsid w:val="00E9078B"/>
    <w:rsid w:val="00E9101D"/>
    <w:rsid w:val="00E92730"/>
    <w:rsid w:val="00E936F0"/>
    <w:rsid w:val="00E93A2F"/>
    <w:rsid w:val="00E93B04"/>
    <w:rsid w:val="00E95288"/>
    <w:rsid w:val="00E95BF1"/>
    <w:rsid w:val="00E966B6"/>
    <w:rsid w:val="00EA117C"/>
    <w:rsid w:val="00EA14B4"/>
    <w:rsid w:val="00EA22C9"/>
    <w:rsid w:val="00EA42E5"/>
    <w:rsid w:val="00EA67B4"/>
    <w:rsid w:val="00EB0554"/>
    <w:rsid w:val="00EB0DE8"/>
    <w:rsid w:val="00EB1C5E"/>
    <w:rsid w:val="00EB4770"/>
    <w:rsid w:val="00EB4DD2"/>
    <w:rsid w:val="00EB564C"/>
    <w:rsid w:val="00EB64BC"/>
    <w:rsid w:val="00EB69A4"/>
    <w:rsid w:val="00EC3D1D"/>
    <w:rsid w:val="00EC4F25"/>
    <w:rsid w:val="00EC671C"/>
    <w:rsid w:val="00EC6B33"/>
    <w:rsid w:val="00EC733D"/>
    <w:rsid w:val="00EC7A92"/>
    <w:rsid w:val="00ED0AFB"/>
    <w:rsid w:val="00ED2CAA"/>
    <w:rsid w:val="00ED3DCF"/>
    <w:rsid w:val="00ED4FE4"/>
    <w:rsid w:val="00ED66CB"/>
    <w:rsid w:val="00ED6C66"/>
    <w:rsid w:val="00EE53D7"/>
    <w:rsid w:val="00EE5B01"/>
    <w:rsid w:val="00EE6A17"/>
    <w:rsid w:val="00EE7CEB"/>
    <w:rsid w:val="00EF3A6F"/>
    <w:rsid w:val="00EF48DE"/>
    <w:rsid w:val="00EF5335"/>
    <w:rsid w:val="00EF7F8E"/>
    <w:rsid w:val="00F02A81"/>
    <w:rsid w:val="00F036D7"/>
    <w:rsid w:val="00F03FF9"/>
    <w:rsid w:val="00F04402"/>
    <w:rsid w:val="00F0658C"/>
    <w:rsid w:val="00F11C20"/>
    <w:rsid w:val="00F11C25"/>
    <w:rsid w:val="00F12C27"/>
    <w:rsid w:val="00F12F7D"/>
    <w:rsid w:val="00F136FB"/>
    <w:rsid w:val="00F16868"/>
    <w:rsid w:val="00F20623"/>
    <w:rsid w:val="00F209C8"/>
    <w:rsid w:val="00F2195A"/>
    <w:rsid w:val="00F221F0"/>
    <w:rsid w:val="00F22410"/>
    <w:rsid w:val="00F23D8B"/>
    <w:rsid w:val="00F25F79"/>
    <w:rsid w:val="00F3063A"/>
    <w:rsid w:val="00F3136F"/>
    <w:rsid w:val="00F31444"/>
    <w:rsid w:val="00F3189F"/>
    <w:rsid w:val="00F319B3"/>
    <w:rsid w:val="00F3550B"/>
    <w:rsid w:val="00F40D63"/>
    <w:rsid w:val="00F43E5C"/>
    <w:rsid w:val="00F45BD2"/>
    <w:rsid w:val="00F471A4"/>
    <w:rsid w:val="00F47D82"/>
    <w:rsid w:val="00F5193E"/>
    <w:rsid w:val="00F51B55"/>
    <w:rsid w:val="00F55F75"/>
    <w:rsid w:val="00F56886"/>
    <w:rsid w:val="00F570A9"/>
    <w:rsid w:val="00F60416"/>
    <w:rsid w:val="00F6066F"/>
    <w:rsid w:val="00F6080D"/>
    <w:rsid w:val="00F61590"/>
    <w:rsid w:val="00F619B1"/>
    <w:rsid w:val="00F62666"/>
    <w:rsid w:val="00F62E12"/>
    <w:rsid w:val="00F63F73"/>
    <w:rsid w:val="00F65B73"/>
    <w:rsid w:val="00F70C78"/>
    <w:rsid w:val="00F71096"/>
    <w:rsid w:val="00F75CFA"/>
    <w:rsid w:val="00F76247"/>
    <w:rsid w:val="00F801D9"/>
    <w:rsid w:val="00F80671"/>
    <w:rsid w:val="00F80CA8"/>
    <w:rsid w:val="00F81DBE"/>
    <w:rsid w:val="00F83F6C"/>
    <w:rsid w:val="00F8421D"/>
    <w:rsid w:val="00F8644B"/>
    <w:rsid w:val="00F90C9B"/>
    <w:rsid w:val="00F91E16"/>
    <w:rsid w:val="00F92C8A"/>
    <w:rsid w:val="00F9379C"/>
    <w:rsid w:val="00F95188"/>
    <w:rsid w:val="00F9781F"/>
    <w:rsid w:val="00FA25A9"/>
    <w:rsid w:val="00FA48AF"/>
    <w:rsid w:val="00FB1A59"/>
    <w:rsid w:val="00FB227F"/>
    <w:rsid w:val="00FB7347"/>
    <w:rsid w:val="00FC0EBE"/>
    <w:rsid w:val="00FC69B9"/>
    <w:rsid w:val="00FC7390"/>
    <w:rsid w:val="00FD0744"/>
    <w:rsid w:val="00FD0B61"/>
    <w:rsid w:val="00FD1357"/>
    <w:rsid w:val="00FD5A09"/>
    <w:rsid w:val="00FD61FE"/>
    <w:rsid w:val="00FD6913"/>
    <w:rsid w:val="00FE062C"/>
    <w:rsid w:val="00FE1093"/>
    <w:rsid w:val="00FE14C3"/>
    <w:rsid w:val="00FE185A"/>
    <w:rsid w:val="00FE27C4"/>
    <w:rsid w:val="00FE291D"/>
    <w:rsid w:val="00FE3A0E"/>
    <w:rsid w:val="00FE3E9F"/>
    <w:rsid w:val="00FE459D"/>
    <w:rsid w:val="00FE4A01"/>
    <w:rsid w:val="00FE4CE5"/>
    <w:rsid w:val="00FE5A72"/>
    <w:rsid w:val="00FE60A8"/>
    <w:rsid w:val="00FE6F1E"/>
    <w:rsid w:val="00FF04DD"/>
    <w:rsid w:val="00FF074A"/>
    <w:rsid w:val="00FF2144"/>
    <w:rsid w:val="00FF3810"/>
    <w:rsid w:val="11A4210E"/>
    <w:rsid w:val="40744B74"/>
    <w:rsid w:val="4377296B"/>
    <w:rsid w:val="441E7554"/>
    <w:rsid w:val="5D4D4BFB"/>
    <w:rsid w:val="65074988"/>
    <w:rsid w:val="7B8A3E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2F7"/>
    <w:pPr>
      <w:adjustRightInd w:val="0"/>
      <w:snapToGrid w:val="0"/>
      <w:spacing w:after="200"/>
    </w:pPr>
    <w:rPr>
      <w:rFonts w:ascii="Tahoma" w:hAnsi="Tahoma"/>
      <w:sz w:val="22"/>
      <w:szCs w:val="22"/>
    </w:rPr>
  </w:style>
  <w:style w:type="paragraph" w:styleId="1">
    <w:name w:val="heading 1"/>
    <w:basedOn w:val="a"/>
    <w:next w:val="a"/>
    <w:link w:val="1Char"/>
    <w:uiPriority w:val="9"/>
    <w:qFormat/>
    <w:rsid w:val="00C3195B"/>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6F22F7"/>
    <w:rPr>
      <w:rFonts w:asciiTheme="majorHAnsi" w:eastAsia="黑体" w:hAnsiTheme="majorHAnsi" w:cstheme="majorBidi"/>
      <w:sz w:val="20"/>
      <w:szCs w:val="20"/>
    </w:rPr>
  </w:style>
  <w:style w:type="paragraph" w:styleId="a4">
    <w:name w:val="Balloon Text"/>
    <w:basedOn w:val="a"/>
    <w:link w:val="Char"/>
    <w:uiPriority w:val="99"/>
    <w:semiHidden/>
    <w:unhideWhenUsed/>
    <w:rsid w:val="006F22F7"/>
    <w:pPr>
      <w:spacing w:after="0"/>
    </w:pPr>
    <w:rPr>
      <w:sz w:val="18"/>
      <w:szCs w:val="18"/>
    </w:rPr>
  </w:style>
  <w:style w:type="paragraph" w:styleId="a5">
    <w:name w:val="footer"/>
    <w:basedOn w:val="a"/>
    <w:link w:val="Char0"/>
    <w:uiPriority w:val="99"/>
    <w:unhideWhenUsed/>
    <w:rsid w:val="006F22F7"/>
    <w:pPr>
      <w:tabs>
        <w:tab w:val="center" w:pos="4153"/>
        <w:tab w:val="right" w:pos="8306"/>
      </w:tabs>
    </w:pPr>
    <w:rPr>
      <w:sz w:val="18"/>
      <w:szCs w:val="18"/>
    </w:rPr>
  </w:style>
  <w:style w:type="paragraph" w:styleId="a6">
    <w:name w:val="header"/>
    <w:basedOn w:val="a"/>
    <w:link w:val="Char1"/>
    <w:uiPriority w:val="99"/>
    <w:semiHidden/>
    <w:unhideWhenUsed/>
    <w:rsid w:val="006F22F7"/>
    <w:pPr>
      <w:pBdr>
        <w:bottom w:val="single" w:sz="6" w:space="1" w:color="auto"/>
      </w:pBdr>
      <w:tabs>
        <w:tab w:val="center" w:pos="4153"/>
        <w:tab w:val="right" w:pos="8306"/>
      </w:tabs>
      <w:jc w:val="center"/>
    </w:pPr>
    <w:rPr>
      <w:sz w:val="18"/>
      <w:szCs w:val="18"/>
    </w:rPr>
  </w:style>
  <w:style w:type="table" w:styleId="a7">
    <w:name w:val="Table Grid"/>
    <w:basedOn w:val="a1"/>
    <w:uiPriority w:val="59"/>
    <w:rsid w:val="006F2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6F22F7"/>
    <w:rPr>
      <w:color w:val="107EBF"/>
      <w:u w:val="none"/>
    </w:rPr>
  </w:style>
  <w:style w:type="character" w:customStyle="1" w:styleId="Char1">
    <w:name w:val="页眉 Char"/>
    <w:basedOn w:val="a0"/>
    <w:link w:val="a6"/>
    <w:uiPriority w:val="99"/>
    <w:semiHidden/>
    <w:qFormat/>
    <w:rsid w:val="006F22F7"/>
    <w:rPr>
      <w:rFonts w:ascii="Tahoma" w:hAnsi="Tahoma"/>
      <w:sz w:val="18"/>
      <w:szCs w:val="18"/>
    </w:rPr>
  </w:style>
  <w:style w:type="character" w:customStyle="1" w:styleId="Char0">
    <w:name w:val="页脚 Char"/>
    <w:basedOn w:val="a0"/>
    <w:link w:val="a5"/>
    <w:uiPriority w:val="99"/>
    <w:rsid w:val="006F22F7"/>
    <w:rPr>
      <w:rFonts w:ascii="Tahoma" w:hAnsi="Tahoma"/>
      <w:sz w:val="18"/>
      <w:szCs w:val="18"/>
    </w:rPr>
  </w:style>
  <w:style w:type="paragraph" w:customStyle="1" w:styleId="TableParagraph">
    <w:name w:val="Table Paragraph"/>
    <w:basedOn w:val="a"/>
    <w:uiPriority w:val="1"/>
    <w:qFormat/>
    <w:rsid w:val="006F22F7"/>
    <w:pPr>
      <w:widowControl w:val="0"/>
      <w:adjustRightInd/>
      <w:snapToGrid/>
      <w:spacing w:after="0"/>
    </w:pPr>
    <w:rPr>
      <w:rFonts w:asciiTheme="minorHAnsi" w:eastAsiaTheme="minorEastAsia" w:hAnsiTheme="minorHAnsi"/>
      <w:lang w:eastAsia="en-US"/>
    </w:rPr>
  </w:style>
  <w:style w:type="character" w:customStyle="1" w:styleId="Char">
    <w:name w:val="批注框文本 Char"/>
    <w:basedOn w:val="a0"/>
    <w:link w:val="a4"/>
    <w:uiPriority w:val="99"/>
    <w:semiHidden/>
    <w:rsid w:val="006F22F7"/>
    <w:rPr>
      <w:rFonts w:ascii="Tahoma" w:hAnsi="Tahoma"/>
      <w:sz w:val="18"/>
      <w:szCs w:val="18"/>
    </w:rPr>
  </w:style>
  <w:style w:type="paragraph" w:styleId="a9">
    <w:name w:val="List Paragraph"/>
    <w:basedOn w:val="a"/>
    <w:uiPriority w:val="34"/>
    <w:qFormat/>
    <w:rsid w:val="006F22F7"/>
    <w:pPr>
      <w:ind w:firstLineChars="200" w:firstLine="420"/>
    </w:pPr>
  </w:style>
  <w:style w:type="paragraph" w:customStyle="1" w:styleId="Default">
    <w:name w:val="Default"/>
    <w:rsid w:val="00E3355A"/>
    <w:pPr>
      <w:widowControl w:val="0"/>
      <w:autoSpaceDE w:val="0"/>
      <w:autoSpaceDN w:val="0"/>
      <w:adjustRightInd w:val="0"/>
    </w:pPr>
    <w:rPr>
      <w:rFonts w:ascii="仿宋_GB2312" w:hAnsi="仿宋_GB2312" w:cs="仿宋_GB2312"/>
      <w:color w:val="000000"/>
      <w:sz w:val="24"/>
      <w:szCs w:val="24"/>
    </w:rPr>
  </w:style>
  <w:style w:type="character" w:customStyle="1" w:styleId="1Char">
    <w:name w:val="标题 1 Char"/>
    <w:basedOn w:val="a0"/>
    <w:link w:val="1"/>
    <w:uiPriority w:val="9"/>
    <w:rsid w:val="00C3195B"/>
    <w:rPr>
      <w:rFonts w:ascii="Tahoma" w:hAnsi="Tahoma"/>
      <w:b/>
      <w:bCs/>
      <w:kern w:val="44"/>
      <w:sz w:val="44"/>
      <w:szCs w:val="44"/>
    </w:rPr>
  </w:style>
</w:styles>
</file>

<file path=word/webSettings.xml><?xml version="1.0" encoding="utf-8"?>
<w:webSettings xmlns:r="http://schemas.openxmlformats.org/officeDocument/2006/relationships" xmlns:w="http://schemas.openxmlformats.org/wordprocessingml/2006/main">
  <w:divs>
    <w:div w:id="171531999">
      <w:bodyDiv w:val="1"/>
      <w:marLeft w:val="0"/>
      <w:marRight w:val="0"/>
      <w:marTop w:val="0"/>
      <w:marBottom w:val="0"/>
      <w:divBdr>
        <w:top w:val="none" w:sz="0" w:space="0" w:color="auto"/>
        <w:left w:val="none" w:sz="0" w:space="0" w:color="auto"/>
        <w:bottom w:val="none" w:sz="0" w:space="0" w:color="auto"/>
        <w:right w:val="none" w:sz="0" w:space="0" w:color="auto"/>
      </w:divBdr>
    </w:div>
    <w:div w:id="420418526">
      <w:bodyDiv w:val="1"/>
      <w:marLeft w:val="0"/>
      <w:marRight w:val="0"/>
      <w:marTop w:val="0"/>
      <w:marBottom w:val="0"/>
      <w:divBdr>
        <w:top w:val="none" w:sz="0" w:space="0" w:color="auto"/>
        <w:left w:val="none" w:sz="0" w:space="0" w:color="auto"/>
        <w:bottom w:val="none" w:sz="0" w:space="0" w:color="auto"/>
        <w:right w:val="none" w:sz="0" w:space="0" w:color="auto"/>
      </w:divBdr>
    </w:div>
    <w:div w:id="526790984">
      <w:bodyDiv w:val="1"/>
      <w:marLeft w:val="0"/>
      <w:marRight w:val="0"/>
      <w:marTop w:val="0"/>
      <w:marBottom w:val="0"/>
      <w:divBdr>
        <w:top w:val="none" w:sz="0" w:space="0" w:color="auto"/>
        <w:left w:val="none" w:sz="0" w:space="0" w:color="auto"/>
        <w:bottom w:val="none" w:sz="0" w:space="0" w:color="auto"/>
        <w:right w:val="none" w:sz="0" w:space="0" w:color="auto"/>
      </w:divBdr>
    </w:div>
    <w:div w:id="713846354">
      <w:bodyDiv w:val="1"/>
      <w:marLeft w:val="0"/>
      <w:marRight w:val="0"/>
      <w:marTop w:val="0"/>
      <w:marBottom w:val="0"/>
      <w:divBdr>
        <w:top w:val="none" w:sz="0" w:space="0" w:color="auto"/>
        <w:left w:val="none" w:sz="0" w:space="0" w:color="auto"/>
        <w:bottom w:val="none" w:sz="0" w:space="0" w:color="auto"/>
        <w:right w:val="none" w:sz="0" w:space="0" w:color="auto"/>
      </w:divBdr>
    </w:div>
    <w:div w:id="758795288">
      <w:bodyDiv w:val="1"/>
      <w:marLeft w:val="0"/>
      <w:marRight w:val="0"/>
      <w:marTop w:val="0"/>
      <w:marBottom w:val="0"/>
      <w:divBdr>
        <w:top w:val="none" w:sz="0" w:space="0" w:color="auto"/>
        <w:left w:val="none" w:sz="0" w:space="0" w:color="auto"/>
        <w:bottom w:val="none" w:sz="0" w:space="0" w:color="auto"/>
        <w:right w:val="none" w:sz="0" w:space="0" w:color="auto"/>
      </w:divBdr>
    </w:div>
    <w:div w:id="771245702">
      <w:bodyDiv w:val="1"/>
      <w:marLeft w:val="0"/>
      <w:marRight w:val="0"/>
      <w:marTop w:val="0"/>
      <w:marBottom w:val="0"/>
      <w:divBdr>
        <w:top w:val="none" w:sz="0" w:space="0" w:color="auto"/>
        <w:left w:val="none" w:sz="0" w:space="0" w:color="auto"/>
        <w:bottom w:val="none" w:sz="0" w:space="0" w:color="auto"/>
        <w:right w:val="none" w:sz="0" w:space="0" w:color="auto"/>
      </w:divBdr>
    </w:div>
    <w:div w:id="867061966">
      <w:bodyDiv w:val="1"/>
      <w:marLeft w:val="0"/>
      <w:marRight w:val="0"/>
      <w:marTop w:val="0"/>
      <w:marBottom w:val="0"/>
      <w:divBdr>
        <w:top w:val="none" w:sz="0" w:space="0" w:color="auto"/>
        <w:left w:val="none" w:sz="0" w:space="0" w:color="auto"/>
        <w:bottom w:val="none" w:sz="0" w:space="0" w:color="auto"/>
        <w:right w:val="none" w:sz="0" w:space="0" w:color="auto"/>
      </w:divBdr>
      <w:divsChild>
        <w:div w:id="1797481754">
          <w:marLeft w:val="0"/>
          <w:marRight w:val="0"/>
          <w:marTop w:val="0"/>
          <w:marBottom w:val="0"/>
          <w:divBdr>
            <w:top w:val="single" w:sz="2" w:space="0" w:color="99BBE8"/>
            <w:left w:val="single" w:sz="2" w:space="0" w:color="99BBE8"/>
            <w:bottom w:val="single" w:sz="2" w:space="0" w:color="99BBE8"/>
            <w:right w:val="single" w:sz="2" w:space="0" w:color="99BBE8"/>
          </w:divBdr>
          <w:divsChild>
            <w:div w:id="132915175">
              <w:marLeft w:val="0"/>
              <w:marRight w:val="0"/>
              <w:marTop w:val="0"/>
              <w:marBottom w:val="0"/>
              <w:divBdr>
                <w:top w:val="none" w:sz="0" w:space="0" w:color="auto"/>
                <w:left w:val="none" w:sz="0" w:space="0" w:color="auto"/>
                <w:bottom w:val="none" w:sz="0" w:space="0" w:color="auto"/>
                <w:right w:val="none" w:sz="0" w:space="0" w:color="auto"/>
              </w:divBdr>
              <w:divsChild>
                <w:div w:id="2045474424">
                  <w:marLeft w:val="0"/>
                  <w:marRight w:val="0"/>
                  <w:marTop w:val="0"/>
                  <w:marBottom w:val="0"/>
                  <w:divBdr>
                    <w:top w:val="none" w:sz="0" w:space="0" w:color="auto"/>
                    <w:left w:val="none" w:sz="0" w:space="0" w:color="auto"/>
                    <w:bottom w:val="none" w:sz="0" w:space="0" w:color="auto"/>
                    <w:right w:val="none" w:sz="0" w:space="0" w:color="auto"/>
                  </w:divBdr>
                  <w:divsChild>
                    <w:div w:id="1624845627">
                      <w:marLeft w:val="0"/>
                      <w:marRight w:val="0"/>
                      <w:marTop w:val="0"/>
                      <w:marBottom w:val="0"/>
                      <w:divBdr>
                        <w:top w:val="none" w:sz="0" w:space="0" w:color="auto"/>
                        <w:left w:val="none" w:sz="0" w:space="0" w:color="auto"/>
                        <w:bottom w:val="none" w:sz="0" w:space="0" w:color="auto"/>
                        <w:right w:val="none" w:sz="0" w:space="0" w:color="auto"/>
                      </w:divBdr>
                    </w:div>
                    <w:div w:id="908081458">
                      <w:marLeft w:val="0"/>
                      <w:marRight w:val="0"/>
                      <w:marTop w:val="0"/>
                      <w:marBottom w:val="0"/>
                      <w:divBdr>
                        <w:top w:val="none" w:sz="0" w:space="0" w:color="auto"/>
                        <w:left w:val="none" w:sz="0" w:space="0" w:color="auto"/>
                        <w:bottom w:val="none" w:sz="0" w:space="0" w:color="auto"/>
                        <w:right w:val="none" w:sz="0" w:space="0" w:color="auto"/>
                      </w:divBdr>
                    </w:div>
                    <w:div w:id="1307278117">
                      <w:marLeft w:val="0"/>
                      <w:marRight w:val="0"/>
                      <w:marTop w:val="0"/>
                      <w:marBottom w:val="0"/>
                      <w:divBdr>
                        <w:top w:val="none" w:sz="0" w:space="0" w:color="auto"/>
                        <w:left w:val="none" w:sz="0" w:space="0" w:color="auto"/>
                        <w:bottom w:val="none" w:sz="0" w:space="0" w:color="auto"/>
                        <w:right w:val="none" w:sz="0" w:space="0" w:color="auto"/>
                      </w:divBdr>
                    </w:div>
                    <w:div w:id="1686201257">
                      <w:marLeft w:val="0"/>
                      <w:marRight w:val="0"/>
                      <w:marTop w:val="0"/>
                      <w:marBottom w:val="0"/>
                      <w:divBdr>
                        <w:top w:val="none" w:sz="0" w:space="0" w:color="auto"/>
                        <w:left w:val="none" w:sz="0" w:space="0" w:color="auto"/>
                        <w:bottom w:val="none" w:sz="0" w:space="0" w:color="auto"/>
                        <w:right w:val="none" w:sz="0" w:space="0" w:color="auto"/>
                      </w:divBdr>
                    </w:div>
                    <w:div w:id="2142647495">
                      <w:marLeft w:val="0"/>
                      <w:marRight w:val="0"/>
                      <w:marTop w:val="0"/>
                      <w:marBottom w:val="0"/>
                      <w:divBdr>
                        <w:top w:val="none" w:sz="0" w:space="0" w:color="auto"/>
                        <w:left w:val="none" w:sz="0" w:space="0" w:color="auto"/>
                        <w:bottom w:val="none" w:sz="0" w:space="0" w:color="auto"/>
                        <w:right w:val="none" w:sz="0" w:space="0" w:color="auto"/>
                      </w:divBdr>
                    </w:div>
                    <w:div w:id="1016154254">
                      <w:marLeft w:val="0"/>
                      <w:marRight w:val="0"/>
                      <w:marTop w:val="0"/>
                      <w:marBottom w:val="0"/>
                      <w:divBdr>
                        <w:top w:val="none" w:sz="0" w:space="0" w:color="auto"/>
                        <w:left w:val="none" w:sz="0" w:space="0" w:color="auto"/>
                        <w:bottom w:val="none" w:sz="0" w:space="0" w:color="auto"/>
                        <w:right w:val="none" w:sz="0" w:space="0" w:color="auto"/>
                      </w:divBdr>
                    </w:div>
                    <w:div w:id="2123186460">
                      <w:marLeft w:val="0"/>
                      <w:marRight w:val="0"/>
                      <w:marTop w:val="0"/>
                      <w:marBottom w:val="0"/>
                      <w:divBdr>
                        <w:top w:val="none" w:sz="0" w:space="0" w:color="auto"/>
                        <w:left w:val="none" w:sz="0" w:space="0" w:color="auto"/>
                        <w:bottom w:val="none" w:sz="0" w:space="0" w:color="auto"/>
                        <w:right w:val="none" w:sz="0" w:space="0" w:color="auto"/>
                      </w:divBdr>
                    </w:div>
                    <w:div w:id="1791967977">
                      <w:marLeft w:val="0"/>
                      <w:marRight w:val="0"/>
                      <w:marTop w:val="0"/>
                      <w:marBottom w:val="0"/>
                      <w:divBdr>
                        <w:top w:val="none" w:sz="0" w:space="0" w:color="auto"/>
                        <w:left w:val="none" w:sz="0" w:space="0" w:color="auto"/>
                        <w:bottom w:val="none" w:sz="0" w:space="0" w:color="auto"/>
                        <w:right w:val="none" w:sz="0" w:space="0" w:color="auto"/>
                      </w:divBdr>
                    </w:div>
                    <w:div w:id="1977712450">
                      <w:marLeft w:val="0"/>
                      <w:marRight w:val="0"/>
                      <w:marTop w:val="0"/>
                      <w:marBottom w:val="0"/>
                      <w:divBdr>
                        <w:top w:val="none" w:sz="0" w:space="0" w:color="auto"/>
                        <w:left w:val="none" w:sz="0" w:space="0" w:color="auto"/>
                        <w:bottom w:val="none" w:sz="0" w:space="0" w:color="auto"/>
                        <w:right w:val="none" w:sz="0" w:space="0" w:color="auto"/>
                      </w:divBdr>
                    </w:div>
                    <w:div w:id="624510338">
                      <w:marLeft w:val="0"/>
                      <w:marRight w:val="0"/>
                      <w:marTop w:val="0"/>
                      <w:marBottom w:val="0"/>
                      <w:divBdr>
                        <w:top w:val="none" w:sz="0" w:space="0" w:color="auto"/>
                        <w:left w:val="none" w:sz="0" w:space="0" w:color="auto"/>
                        <w:bottom w:val="none" w:sz="0" w:space="0" w:color="auto"/>
                        <w:right w:val="none" w:sz="0" w:space="0" w:color="auto"/>
                      </w:divBdr>
                    </w:div>
                    <w:div w:id="752700993">
                      <w:marLeft w:val="0"/>
                      <w:marRight w:val="0"/>
                      <w:marTop w:val="0"/>
                      <w:marBottom w:val="0"/>
                      <w:divBdr>
                        <w:top w:val="none" w:sz="0" w:space="0" w:color="auto"/>
                        <w:left w:val="none" w:sz="0" w:space="0" w:color="auto"/>
                        <w:bottom w:val="none" w:sz="0" w:space="0" w:color="auto"/>
                        <w:right w:val="none" w:sz="0" w:space="0" w:color="auto"/>
                      </w:divBdr>
                    </w:div>
                    <w:div w:id="746466326">
                      <w:marLeft w:val="0"/>
                      <w:marRight w:val="0"/>
                      <w:marTop w:val="0"/>
                      <w:marBottom w:val="0"/>
                      <w:divBdr>
                        <w:top w:val="none" w:sz="0" w:space="0" w:color="auto"/>
                        <w:left w:val="none" w:sz="0" w:space="0" w:color="auto"/>
                        <w:bottom w:val="none" w:sz="0" w:space="0" w:color="auto"/>
                        <w:right w:val="none" w:sz="0" w:space="0" w:color="auto"/>
                      </w:divBdr>
                    </w:div>
                    <w:div w:id="1877156947">
                      <w:marLeft w:val="0"/>
                      <w:marRight w:val="0"/>
                      <w:marTop w:val="0"/>
                      <w:marBottom w:val="0"/>
                      <w:divBdr>
                        <w:top w:val="none" w:sz="0" w:space="0" w:color="auto"/>
                        <w:left w:val="none" w:sz="0" w:space="0" w:color="auto"/>
                        <w:bottom w:val="none" w:sz="0" w:space="0" w:color="auto"/>
                        <w:right w:val="none" w:sz="0" w:space="0" w:color="auto"/>
                      </w:divBdr>
                    </w:div>
                    <w:div w:id="153034699">
                      <w:marLeft w:val="0"/>
                      <w:marRight w:val="0"/>
                      <w:marTop w:val="0"/>
                      <w:marBottom w:val="0"/>
                      <w:divBdr>
                        <w:top w:val="none" w:sz="0" w:space="0" w:color="auto"/>
                        <w:left w:val="none" w:sz="0" w:space="0" w:color="auto"/>
                        <w:bottom w:val="none" w:sz="0" w:space="0" w:color="auto"/>
                        <w:right w:val="none" w:sz="0" w:space="0" w:color="auto"/>
                      </w:divBdr>
                    </w:div>
                    <w:div w:id="1381590232">
                      <w:marLeft w:val="0"/>
                      <w:marRight w:val="0"/>
                      <w:marTop w:val="0"/>
                      <w:marBottom w:val="0"/>
                      <w:divBdr>
                        <w:top w:val="none" w:sz="0" w:space="0" w:color="auto"/>
                        <w:left w:val="none" w:sz="0" w:space="0" w:color="auto"/>
                        <w:bottom w:val="none" w:sz="0" w:space="0" w:color="auto"/>
                        <w:right w:val="none" w:sz="0" w:space="0" w:color="auto"/>
                      </w:divBdr>
                    </w:div>
                    <w:div w:id="1328705685">
                      <w:marLeft w:val="0"/>
                      <w:marRight w:val="0"/>
                      <w:marTop w:val="0"/>
                      <w:marBottom w:val="0"/>
                      <w:divBdr>
                        <w:top w:val="none" w:sz="0" w:space="0" w:color="auto"/>
                        <w:left w:val="none" w:sz="0" w:space="0" w:color="auto"/>
                        <w:bottom w:val="none" w:sz="0" w:space="0" w:color="auto"/>
                        <w:right w:val="none" w:sz="0" w:space="0" w:color="auto"/>
                      </w:divBdr>
                    </w:div>
                    <w:div w:id="1021590888">
                      <w:marLeft w:val="0"/>
                      <w:marRight w:val="0"/>
                      <w:marTop w:val="0"/>
                      <w:marBottom w:val="0"/>
                      <w:divBdr>
                        <w:top w:val="none" w:sz="0" w:space="0" w:color="auto"/>
                        <w:left w:val="none" w:sz="0" w:space="0" w:color="auto"/>
                        <w:bottom w:val="none" w:sz="0" w:space="0" w:color="auto"/>
                        <w:right w:val="none" w:sz="0" w:space="0" w:color="auto"/>
                      </w:divBdr>
                    </w:div>
                    <w:div w:id="1336223459">
                      <w:marLeft w:val="0"/>
                      <w:marRight w:val="0"/>
                      <w:marTop w:val="0"/>
                      <w:marBottom w:val="0"/>
                      <w:divBdr>
                        <w:top w:val="none" w:sz="0" w:space="0" w:color="auto"/>
                        <w:left w:val="none" w:sz="0" w:space="0" w:color="auto"/>
                        <w:bottom w:val="none" w:sz="0" w:space="0" w:color="auto"/>
                        <w:right w:val="none" w:sz="0" w:space="0" w:color="auto"/>
                      </w:divBdr>
                    </w:div>
                    <w:div w:id="1672371017">
                      <w:marLeft w:val="0"/>
                      <w:marRight w:val="0"/>
                      <w:marTop w:val="0"/>
                      <w:marBottom w:val="0"/>
                      <w:divBdr>
                        <w:top w:val="none" w:sz="0" w:space="0" w:color="auto"/>
                        <w:left w:val="none" w:sz="0" w:space="0" w:color="auto"/>
                        <w:bottom w:val="none" w:sz="0" w:space="0" w:color="auto"/>
                        <w:right w:val="none" w:sz="0" w:space="0" w:color="auto"/>
                      </w:divBdr>
                    </w:div>
                    <w:div w:id="518783329">
                      <w:marLeft w:val="0"/>
                      <w:marRight w:val="0"/>
                      <w:marTop w:val="0"/>
                      <w:marBottom w:val="0"/>
                      <w:divBdr>
                        <w:top w:val="none" w:sz="0" w:space="0" w:color="auto"/>
                        <w:left w:val="none" w:sz="0" w:space="0" w:color="auto"/>
                        <w:bottom w:val="none" w:sz="0" w:space="0" w:color="auto"/>
                        <w:right w:val="none" w:sz="0" w:space="0" w:color="auto"/>
                      </w:divBdr>
                    </w:div>
                    <w:div w:id="2119324759">
                      <w:marLeft w:val="0"/>
                      <w:marRight w:val="0"/>
                      <w:marTop w:val="0"/>
                      <w:marBottom w:val="0"/>
                      <w:divBdr>
                        <w:top w:val="none" w:sz="0" w:space="0" w:color="auto"/>
                        <w:left w:val="none" w:sz="0" w:space="0" w:color="auto"/>
                        <w:bottom w:val="none" w:sz="0" w:space="0" w:color="auto"/>
                        <w:right w:val="none" w:sz="0" w:space="0" w:color="auto"/>
                      </w:divBdr>
                    </w:div>
                    <w:div w:id="603071783">
                      <w:marLeft w:val="0"/>
                      <w:marRight w:val="0"/>
                      <w:marTop w:val="0"/>
                      <w:marBottom w:val="0"/>
                      <w:divBdr>
                        <w:top w:val="none" w:sz="0" w:space="0" w:color="auto"/>
                        <w:left w:val="none" w:sz="0" w:space="0" w:color="auto"/>
                        <w:bottom w:val="none" w:sz="0" w:space="0" w:color="auto"/>
                        <w:right w:val="none" w:sz="0" w:space="0" w:color="auto"/>
                      </w:divBdr>
                    </w:div>
                    <w:div w:id="1829318826">
                      <w:marLeft w:val="0"/>
                      <w:marRight w:val="0"/>
                      <w:marTop w:val="0"/>
                      <w:marBottom w:val="0"/>
                      <w:divBdr>
                        <w:top w:val="none" w:sz="0" w:space="0" w:color="auto"/>
                        <w:left w:val="none" w:sz="0" w:space="0" w:color="auto"/>
                        <w:bottom w:val="none" w:sz="0" w:space="0" w:color="auto"/>
                        <w:right w:val="none" w:sz="0" w:space="0" w:color="auto"/>
                      </w:divBdr>
                    </w:div>
                    <w:div w:id="49312575">
                      <w:marLeft w:val="0"/>
                      <w:marRight w:val="0"/>
                      <w:marTop w:val="0"/>
                      <w:marBottom w:val="0"/>
                      <w:divBdr>
                        <w:top w:val="none" w:sz="0" w:space="0" w:color="auto"/>
                        <w:left w:val="none" w:sz="0" w:space="0" w:color="auto"/>
                        <w:bottom w:val="none" w:sz="0" w:space="0" w:color="auto"/>
                        <w:right w:val="none" w:sz="0" w:space="0" w:color="auto"/>
                      </w:divBdr>
                    </w:div>
                    <w:div w:id="1783723534">
                      <w:marLeft w:val="0"/>
                      <w:marRight w:val="0"/>
                      <w:marTop w:val="0"/>
                      <w:marBottom w:val="0"/>
                      <w:divBdr>
                        <w:top w:val="none" w:sz="0" w:space="0" w:color="auto"/>
                        <w:left w:val="none" w:sz="0" w:space="0" w:color="auto"/>
                        <w:bottom w:val="none" w:sz="0" w:space="0" w:color="auto"/>
                        <w:right w:val="none" w:sz="0" w:space="0" w:color="auto"/>
                      </w:divBdr>
                    </w:div>
                    <w:div w:id="278687587">
                      <w:marLeft w:val="0"/>
                      <w:marRight w:val="0"/>
                      <w:marTop w:val="0"/>
                      <w:marBottom w:val="0"/>
                      <w:divBdr>
                        <w:top w:val="none" w:sz="0" w:space="0" w:color="auto"/>
                        <w:left w:val="none" w:sz="0" w:space="0" w:color="auto"/>
                        <w:bottom w:val="none" w:sz="0" w:space="0" w:color="auto"/>
                        <w:right w:val="none" w:sz="0" w:space="0" w:color="auto"/>
                      </w:divBdr>
                    </w:div>
                    <w:div w:id="1461606424">
                      <w:marLeft w:val="0"/>
                      <w:marRight w:val="0"/>
                      <w:marTop w:val="0"/>
                      <w:marBottom w:val="0"/>
                      <w:divBdr>
                        <w:top w:val="none" w:sz="0" w:space="0" w:color="auto"/>
                        <w:left w:val="none" w:sz="0" w:space="0" w:color="auto"/>
                        <w:bottom w:val="none" w:sz="0" w:space="0" w:color="auto"/>
                        <w:right w:val="none" w:sz="0" w:space="0" w:color="auto"/>
                      </w:divBdr>
                    </w:div>
                    <w:div w:id="760178700">
                      <w:marLeft w:val="0"/>
                      <w:marRight w:val="0"/>
                      <w:marTop w:val="0"/>
                      <w:marBottom w:val="0"/>
                      <w:divBdr>
                        <w:top w:val="none" w:sz="0" w:space="0" w:color="auto"/>
                        <w:left w:val="none" w:sz="0" w:space="0" w:color="auto"/>
                        <w:bottom w:val="none" w:sz="0" w:space="0" w:color="auto"/>
                        <w:right w:val="none" w:sz="0" w:space="0" w:color="auto"/>
                      </w:divBdr>
                    </w:div>
                    <w:div w:id="716660966">
                      <w:marLeft w:val="0"/>
                      <w:marRight w:val="0"/>
                      <w:marTop w:val="0"/>
                      <w:marBottom w:val="0"/>
                      <w:divBdr>
                        <w:top w:val="none" w:sz="0" w:space="0" w:color="auto"/>
                        <w:left w:val="none" w:sz="0" w:space="0" w:color="auto"/>
                        <w:bottom w:val="none" w:sz="0" w:space="0" w:color="auto"/>
                        <w:right w:val="none" w:sz="0" w:space="0" w:color="auto"/>
                      </w:divBdr>
                    </w:div>
                    <w:div w:id="150408849">
                      <w:marLeft w:val="0"/>
                      <w:marRight w:val="0"/>
                      <w:marTop w:val="0"/>
                      <w:marBottom w:val="0"/>
                      <w:divBdr>
                        <w:top w:val="none" w:sz="0" w:space="0" w:color="auto"/>
                        <w:left w:val="none" w:sz="0" w:space="0" w:color="auto"/>
                        <w:bottom w:val="none" w:sz="0" w:space="0" w:color="auto"/>
                        <w:right w:val="none" w:sz="0" w:space="0" w:color="auto"/>
                      </w:divBdr>
                    </w:div>
                    <w:div w:id="1672445467">
                      <w:marLeft w:val="0"/>
                      <w:marRight w:val="0"/>
                      <w:marTop w:val="0"/>
                      <w:marBottom w:val="0"/>
                      <w:divBdr>
                        <w:top w:val="none" w:sz="0" w:space="0" w:color="auto"/>
                        <w:left w:val="none" w:sz="0" w:space="0" w:color="auto"/>
                        <w:bottom w:val="none" w:sz="0" w:space="0" w:color="auto"/>
                        <w:right w:val="none" w:sz="0" w:space="0" w:color="auto"/>
                      </w:divBdr>
                    </w:div>
                    <w:div w:id="1852720827">
                      <w:marLeft w:val="0"/>
                      <w:marRight w:val="0"/>
                      <w:marTop w:val="0"/>
                      <w:marBottom w:val="0"/>
                      <w:divBdr>
                        <w:top w:val="none" w:sz="0" w:space="0" w:color="auto"/>
                        <w:left w:val="none" w:sz="0" w:space="0" w:color="auto"/>
                        <w:bottom w:val="none" w:sz="0" w:space="0" w:color="auto"/>
                        <w:right w:val="none" w:sz="0" w:space="0" w:color="auto"/>
                      </w:divBdr>
                    </w:div>
                    <w:div w:id="117258581">
                      <w:marLeft w:val="0"/>
                      <w:marRight w:val="0"/>
                      <w:marTop w:val="0"/>
                      <w:marBottom w:val="0"/>
                      <w:divBdr>
                        <w:top w:val="none" w:sz="0" w:space="0" w:color="auto"/>
                        <w:left w:val="none" w:sz="0" w:space="0" w:color="auto"/>
                        <w:bottom w:val="none" w:sz="0" w:space="0" w:color="auto"/>
                        <w:right w:val="none" w:sz="0" w:space="0" w:color="auto"/>
                      </w:divBdr>
                    </w:div>
                    <w:div w:id="499195607">
                      <w:marLeft w:val="0"/>
                      <w:marRight w:val="0"/>
                      <w:marTop w:val="0"/>
                      <w:marBottom w:val="0"/>
                      <w:divBdr>
                        <w:top w:val="none" w:sz="0" w:space="0" w:color="auto"/>
                        <w:left w:val="none" w:sz="0" w:space="0" w:color="auto"/>
                        <w:bottom w:val="none" w:sz="0" w:space="0" w:color="auto"/>
                        <w:right w:val="none" w:sz="0" w:space="0" w:color="auto"/>
                      </w:divBdr>
                    </w:div>
                    <w:div w:id="856426803">
                      <w:marLeft w:val="0"/>
                      <w:marRight w:val="0"/>
                      <w:marTop w:val="0"/>
                      <w:marBottom w:val="0"/>
                      <w:divBdr>
                        <w:top w:val="none" w:sz="0" w:space="0" w:color="auto"/>
                        <w:left w:val="none" w:sz="0" w:space="0" w:color="auto"/>
                        <w:bottom w:val="none" w:sz="0" w:space="0" w:color="auto"/>
                        <w:right w:val="none" w:sz="0" w:space="0" w:color="auto"/>
                      </w:divBdr>
                    </w:div>
                    <w:div w:id="1815172004">
                      <w:marLeft w:val="0"/>
                      <w:marRight w:val="0"/>
                      <w:marTop w:val="0"/>
                      <w:marBottom w:val="0"/>
                      <w:divBdr>
                        <w:top w:val="none" w:sz="0" w:space="0" w:color="auto"/>
                        <w:left w:val="none" w:sz="0" w:space="0" w:color="auto"/>
                        <w:bottom w:val="none" w:sz="0" w:space="0" w:color="auto"/>
                        <w:right w:val="none" w:sz="0" w:space="0" w:color="auto"/>
                      </w:divBdr>
                    </w:div>
                    <w:div w:id="1820414875">
                      <w:marLeft w:val="0"/>
                      <w:marRight w:val="0"/>
                      <w:marTop w:val="0"/>
                      <w:marBottom w:val="0"/>
                      <w:divBdr>
                        <w:top w:val="none" w:sz="0" w:space="0" w:color="auto"/>
                        <w:left w:val="none" w:sz="0" w:space="0" w:color="auto"/>
                        <w:bottom w:val="none" w:sz="0" w:space="0" w:color="auto"/>
                        <w:right w:val="none" w:sz="0" w:space="0" w:color="auto"/>
                      </w:divBdr>
                    </w:div>
                    <w:div w:id="195391313">
                      <w:marLeft w:val="0"/>
                      <w:marRight w:val="0"/>
                      <w:marTop w:val="0"/>
                      <w:marBottom w:val="0"/>
                      <w:divBdr>
                        <w:top w:val="none" w:sz="0" w:space="0" w:color="auto"/>
                        <w:left w:val="none" w:sz="0" w:space="0" w:color="auto"/>
                        <w:bottom w:val="none" w:sz="0" w:space="0" w:color="auto"/>
                        <w:right w:val="none" w:sz="0" w:space="0" w:color="auto"/>
                      </w:divBdr>
                    </w:div>
                    <w:div w:id="334303563">
                      <w:marLeft w:val="0"/>
                      <w:marRight w:val="0"/>
                      <w:marTop w:val="0"/>
                      <w:marBottom w:val="0"/>
                      <w:divBdr>
                        <w:top w:val="none" w:sz="0" w:space="0" w:color="auto"/>
                        <w:left w:val="none" w:sz="0" w:space="0" w:color="auto"/>
                        <w:bottom w:val="none" w:sz="0" w:space="0" w:color="auto"/>
                        <w:right w:val="none" w:sz="0" w:space="0" w:color="auto"/>
                      </w:divBdr>
                    </w:div>
                    <w:div w:id="1697465753">
                      <w:marLeft w:val="0"/>
                      <w:marRight w:val="0"/>
                      <w:marTop w:val="0"/>
                      <w:marBottom w:val="0"/>
                      <w:divBdr>
                        <w:top w:val="none" w:sz="0" w:space="0" w:color="auto"/>
                        <w:left w:val="none" w:sz="0" w:space="0" w:color="auto"/>
                        <w:bottom w:val="none" w:sz="0" w:space="0" w:color="auto"/>
                        <w:right w:val="none" w:sz="0" w:space="0" w:color="auto"/>
                      </w:divBdr>
                    </w:div>
                    <w:div w:id="548415461">
                      <w:marLeft w:val="0"/>
                      <w:marRight w:val="0"/>
                      <w:marTop w:val="0"/>
                      <w:marBottom w:val="0"/>
                      <w:divBdr>
                        <w:top w:val="none" w:sz="0" w:space="0" w:color="auto"/>
                        <w:left w:val="none" w:sz="0" w:space="0" w:color="auto"/>
                        <w:bottom w:val="none" w:sz="0" w:space="0" w:color="auto"/>
                        <w:right w:val="none" w:sz="0" w:space="0" w:color="auto"/>
                      </w:divBdr>
                    </w:div>
                    <w:div w:id="396100387">
                      <w:marLeft w:val="0"/>
                      <w:marRight w:val="0"/>
                      <w:marTop w:val="0"/>
                      <w:marBottom w:val="0"/>
                      <w:divBdr>
                        <w:top w:val="none" w:sz="0" w:space="0" w:color="auto"/>
                        <w:left w:val="none" w:sz="0" w:space="0" w:color="auto"/>
                        <w:bottom w:val="none" w:sz="0" w:space="0" w:color="auto"/>
                        <w:right w:val="none" w:sz="0" w:space="0" w:color="auto"/>
                      </w:divBdr>
                    </w:div>
                    <w:div w:id="1406686259">
                      <w:marLeft w:val="0"/>
                      <w:marRight w:val="0"/>
                      <w:marTop w:val="0"/>
                      <w:marBottom w:val="0"/>
                      <w:divBdr>
                        <w:top w:val="none" w:sz="0" w:space="0" w:color="auto"/>
                        <w:left w:val="none" w:sz="0" w:space="0" w:color="auto"/>
                        <w:bottom w:val="none" w:sz="0" w:space="0" w:color="auto"/>
                        <w:right w:val="none" w:sz="0" w:space="0" w:color="auto"/>
                      </w:divBdr>
                    </w:div>
                    <w:div w:id="1250892242">
                      <w:marLeft w:val="0"/>
                      <w:marRight w:val="0"/>
                      <w:marTop w:val="0"/>
                      <w:marBottom w:val="0"/>
                      <w:divBdr>
                        <w:top w:val="none" w:sz="0" w:space="0" w:color="auto"/>
                        <w:left w:val="none" w:sz="0" w:space="0" w:color="auto"/>
                        <w:bottom w:val="none" w:sz="0" w:space="0" w:color="auto"/>
                        <w:right w:val="none" w:sz="0" w:space="0" w:color="auto"/>
                      </w:divBdr>
                    </w:div>
                    <w:div w:id="775060745">
                      <w:marLeft w:val="0"/>
                      <w:marRight w:val="0"/>
                      <w:marTop w:val="0"/>
                      <w:marBottom w:val="0"/>
                      <w:divBdr>
                        <w:top w:val="none" w:sz="0" w:space="0" w:color="auto"/>
                        <w:left w:val="none" w:sz="0" w:space="0" w:color="auto"/>
                        <w:bottom w:val="none" w:sz="0" w:space="0" w:color="auto"/>
                        <w:right w:val="none" w:sz="0" w:space="0" w:color="auto"/>
                      </w:divBdr>
                    </w:div>
                    <w:div w:id="1587762371">
                      <w:marLeft w:val="0"/>
                      <w:marRight w:val="0"/>
                      <w:marTop w:val="0"/>
                      <w:marBottom w:val="0"/>
                      <w:divBdr>
                        <w:top w:val="none" w:sz="0" w:space="0" w:color="auto"/>
                        <w:left w:val="none" w:sz="0" w:space="0" w:color="auto"/>
                        <w:bottom w:val="none" w:sz="0" w:space="0" w:color="auto"/>
                        <w:right w:val="none" w:sz="0" w:space="0" w:color="auto"/>
                      </w:divBdr>
                    </w:div>
                    <w:div w:id="1294796935">
                      <w:marLeft w:val="0"/>
                      <w:marRight w:val="0"/>
                      <w:marTop w:val="0"/>
                      <w:marBottom w:val="0"/>
                      <w:divBdr>
                        <w:top w:val="none" w:sz="0" w:space="0" w:color="auto"/>
                        <w:left w:val="none" w:sz="0" w:space="0" w:color="auto"/>
                        <w:bottom w:val="none" w:sz="0" w:space="0" w:color="auto"/>
                        <w:right w:val="none" w:sz="0" w:space="0" w:color="auto"/>
                      </w:divBdr>
                    </w:div>
                    <w:div w:id="531918581">
                      <w:marLeft w:val="0"/>
                      <w:marRight w:val="0"/>
                      <w:marTop w:val="0"/>
                      <w:marBottom w:val="0"/>
                      <w:divBdr>
                        <w:top w:val="none" w:sz="0" w:space="0" w:color="auto"/>
                        <w:left w:val="none" w:sz="0" w:space="0" w:color="auto"/>
                        <w:bottom w:val="none" w:sz="0" w:space="0" w:color="auto"/>
                        <w:right w:val="none" w:sz="0" w:space="0" w:color="auto"/>
                      </w:divBdr>
                    </w:div>
                    <w:div w:id="1320426790">
                      <w:marLeft w:val="0"/>
                      <w:marRight w:val="0"/>
                      <w:marTop w:val="0"/>
                      <w:marBottom w:val="0"/>
                      <w:divBdr>
                        <w:top w:val="none" w:sz="0" w:space="0" w:color="auto"/>
                        <w:left w:val="none" w:sz="0" w:space="0" w:color="auto"/>
                        <w:bottom w:val="none" w:sz="0" w:space="0" w:color="auto"/>
                        <w:right w:val="none" w:sz="0" w:space="0" w:color="auto"/>
                      </w:divBdr>
                    </w:div>
                    <w:div w:id="1320110321">
                      <w:marLeft w:val="0"/>
                      <w:marRight w:val="0"/>
                      <w:marTop w:val="0"/>
                      <w:marBottom w:val="0"/>
                      <w:divBdr>
                        <w:top w:val="none" w:sz="0" w:space="0" w:color="auto"/>
                        <w:left w:val="none" w:sz="0" w:space="0" w:color="auto"/>
                        <w:bottom w:val="none" w:sz="0" w:space="0" w:color="auto"/>
                        <w:right w:val="none" w:sz="0" w:space="0" w:color="auto"/>
                      </w:divBdr>
                    </w:div>
                    <w:div w:id="1492793871">
                      <w:marLeft w:val="0"/>
                      <w:marRight w:val="0"/>
                      <w:marTop w:val="0"/>
                      <w:marBottom w:val="0"/>
                      <w:divBdr>
                        <w:top w:val="none" w:sz="0" w:space="0" w:color="auto"/>
                        <w:left w:val="none" w:sz="0" w:space="0" w:color="auto"/>
                        <w:bottom w:val="none" w:sz="0" w:space="0" w:color="auto"/>
                        <w:right w:val="none" w:sz="0" w:space="0" w:color="auto"/>
                      </w:divBdr>
                    </w:div>
                    <w:div w:id="1796290575">
                      <w:marLeft w:val="0"/>
                      <w:marRight w:val="0"/>
                      <w:marTop w:val="0"/>
                      <w:marBottom w:val="0"/>
                      <w:divBdr>
                        <w:top w:val="none" w:sz="0" w:space="0" w:color="auto"/>
                        <w:left w:val="none" w:sz="0" w:space="0" w:color="auto"/>
                        <w:bottom w:val="none" w:sz="0" w:space="0" w:color="auto"/>
                        <w:right w:val="none" w:sz="0" w:space="0" w:color="auto"/>
                      </w:divBdr>
                    </w:div>
                    <w:div w:id="806162196">
                      <w:marLeft w:val="0"/>
                      <w:marRight w:val="0"/>
                      <w:marTop w:val="0"/>
                      <w:marBottom w:val="0"/>
                      <w:divBdr>
                        <w:top w:val="none" w:sz="0" w:space="0" w:color="auto"/>
                        <w:left w:val="none" w:sz="0" w:space="0" w:color="auto"/>
                        <w:bottom w:val="none" w:sz="0" w:space="0" w:color="auto"/>
                        <w:right w:val="none" w:sz="0" w:space="0" w:color="auto"/>
                      </w:divBdr>
                    </w:div>
                    <w:div w:id="84033675">
                      <w:marLeft w:val="0"/>
                      <w:marRight w:val="0"/>
                      <w:marTop w:val="0"/>
                      <w:marBottom w:val="0"/>
                      <w:divBdr>
                        <w:top w:val="none" w:sz="0" w:space="0" w:color="auto"/>
                        <w:left w:val="none" w:sz="0" w:space="0" w:color="auto"/>
                        <w:bottom w:val="none" w:sz="0" w:space="0" w:color="auto"/>
                        <w:right w:val="none" w:sz="0" w:space="0" w:color="auto"/>
                      </w:divBdr>
                    </w:div>
                    <w:div w:id="769081527">
                      <w:marLeft w:val="0"/>
                      <w:marRight w:val="0"/>
                      <w:marTop w:val="0"/>
                      <w:marBottom w:val="0"/>
                      <w:divBdr>
                        <w:top w:val="none" w:sz="0" w:space="0" w:color="auto"/>
                        <w:left w:val="none" w:sz="0" w:space="0" w:color="auto"/>
                        <w:bottom w:val="none" w:sz="0" w:space="0" w:color="auto"/>
                        <w:right w:val="none" w:sz="0" w:space="0" w:color="auto"/>
                      </w:divBdr>
                    </w:div>
                    <w:div w:id="1327397952">
                      <w:marLeft w:val="0"/>
                      <w:marRight w:val="0"/>
                      <w:marTop w:val="0"/>
                      <w:marBottom w:val="0"/>
                      <w:divBdr>
                        <w:top w:val="none" w:sz="0" w:space="0" w:color="auto"/>
                        <w:left w:val="none" w:sz="0" w:space="0" w:color="auto"/>
                        <w:bottom w:val="none" w:sz="0" w:space="0" w:color="auto"/>
                        <w:right w:val="none" w:sz="0" w:space="0" w:color="auto"/>
                      </w:divBdr>
                    </w:div>
                    <w:div w:id="1432508081">
                      <w:marLeft w:val="0"/>
                      <w:marRight w:val="0"/>
                      <w:marTop w:val="0"/>
                      <w:marBottom w:val="0"/>
                      <w:divBdr>
                        <w:top w:val="none" w:sz="0" w:space="0" w:color="auto"/>
                        <w:left w:val="none" w:sz="0" w:space="0" w:color="auto"/>
                        <w:bottom w:val="none" w:sz="0" w:space="0" w:color="auto"/>
                        <w:right w:val="none" w:sz="0" w:space="0" w:color="auto"/>
                      </w:divBdr>
                    </w:div>
                    <w:div w:id="1934623614">
                      <w:marLeft w:val="0"/>
                      <w:marRight w:val="0"/>
                      <w:marTop w:val="0"/>
                      <w:marBottom w:val="0"/>
                      <w:divBdr>
                        <w:top w:val="none" w:sz="0" w:space="0" w:color="auto"/>
                        <w:left w:val="none" w:sz="0" w:space="0" w:color="auto"/>
                        <w:bottom w:val="none" w:sz="0" w:space="0" w:color="auto"/>
                        <w:right w:val="none" w:sz="0" w:space="0" w:color="auto"/>
                      </w:divBdr>
                    </w:div>
                    <w:div w:id="342318473">
                      <w:marLeft w:val="0"/>
                      <w:marRight w:val="0"/>
                      <w:marTop w:val="0"/>
                      <w:marBottom w:val="0"/>
                      <w:divBdr>
                        <w:top w:val="none" w:sz="0" w:space="0" w:color="auto"/>
                        <w:left w:val="none" w:sz="0" w:space="0" w:color="auto"/>
                        <w:bottom w:val="none" w:sz="0" w:space="0" w:color="auto"/>
                        <w:right w:val="none" w:sz="0" w:space="0" w:color="auto"/>
                      </w:divBdr>
                    </w:div>
                    <w:div w:id="1800955702">
                      <w:marLeft w:val="0"/>
                      <w:marRight w:val="0"/>
                      <w:marTop w:val="0"/>
                      <w:marBottom w:val="0"/>
                      <w:divBdr>
                        <w:top w:val="none" w:sz="0" w:space="0" w:color="auto"/>
                        <w:left w:val="none" w:sz="0" w:space="0" w:color="auto"/>
                        <w:bottom w:val="none" w:sz="0" w:space="0" w:color="auto"/>
                        <w:right w:val="none" w:sz="0" w:space="0" w:color="auto"/>
                      </w:divBdr>
                    </w:div>
                    <w:div w:id="936132354">
                      <w:marLeft w:val="0"/>
                      <w:marRight w:val="0"/>
                      <w:marTop w:val="0"/>
                      <w:marBottom w:val="0"/>
                      <w:divBdr>
                        <w:top w:val="none" w:sz="0" w:space="0" w:color="auto"/>
                        <w:left w:val="none" w:sz="0" w:space="0" w:color="auto"/>
                        <w:bottom w:val="none" w:sz="0" w:space="0" w:color="auto"/>
                        <w:right w:val="none" w:sz="0" w:space="0" w:color="auto"/>
                      </w:divBdr>
                    </w:div>
                    <w:div w:id="1513375197">
                      <w:marLeft w:val="0"/>
                      <w:marRight w:val="0"/>
                      <w:marTop w:val="0"/>
                      <w:marBottom w:val="0"/>
                      <w:divBdr>
                        <w:top w:val="none" w:sz="0" w:space="0" w:color="auto"/>
                        <w:left w:val="none" w:sz="0" w:space="0" w:color="auto"/>
                        <w:bottom w:val="none" w:sz="0" w:space="0" w:color="auto"/>
                        <w:right w:val="none" w:sz="0" w:space="0" w:color="auto"/>
                      </w:divBdr>
                    </w:div>
                    <w:div w:id="14667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94529">
      <w:bodyDiv w:val="1"/>
      <w:marLeft w:val="0"/>
      <w:marRight w:val="0"/>
      <w:marTop w:val="0"/>
      <w:marBottom w:val="0"/>
      <w:divBdr>
        <w:top w:val="none" w:sz="0" w:space="0" w:color="auto"/>
        <w:left w:val="none" w:sz="0" w:space="0" w:color="auto"/>
        <w:bottom w:val="none" w:sz="0" w:space="0" w:color="auto"/>
        <w:right w:val="none" w:sz="0" w:space="0" w:color="auto"/>
      </w:divBdr>
    </w:div>
    <w:div w:id="1393581409">
      <w:bodyDiv w:val="1"/>
      <w:marLeft w:val="0"/>
      <w:marRight w:val="0"/>
      <w:marTop w:val="0"/>
      <w:marBottom w:val="0"/>
      <w:divBdr>
        <w:top w:val="none" w:sz="0" w:space="0" w:color="auto"/>
        <w:left w:val="none" w:sz="0" w:space="0" w:color="auto"/>
        <w:bottom w:val="none" w:sz="0" w:space="0" w:color="auto"/>
        <w:right w:val="none" w:sz="0" w:space="0" w:color="auto"/>
      </w:divBdr>
    </w:div>
    <w:div w:id="1478379185">
      <w:bodyDiv w:val="1"/>
      <w:marLeft w:val="0"/>
      <w:marRight w:val="0"/>
      <w:marTop w:val="0"/>
      <w:marBottom w:val="0"/>
      <w:divBdr>
        <w:top w:val="none" w:sz="0" w:space="0" w:color="auto"/>
        <w:left w:val="none" w:sz="0" w:space="0" w:color="auto"/>
        <w:bottom w:val="none" w:sz="0" w:space="0" w:color="auto"/>
        <w:right w:val="none" w:sz="0" w:space="0" w:color="auto"/>
      </w:divBdr>
    </w:div>
    <w:div w:id="1597589366">
      <w:bodyDiv w:val="1"/>
      <w:marLeft w:val="0"/>
      <w:marRight w:val="0"/>
      <w:marTop w:val="0"/>
      <w:marBottom w:val="0"/>
      <w:divBdr>
        <w:top w:val="none" w:sz="0" w:space="0" w:color="auto"/>
        <w:left w:val="none" w:sz="0" w:space="0" w:color="auto"/>
        <w:bottom w:val="none" w:sz="0" w:space="0" w:color="auto"/>
        <w:right w:val="none" w:sz="0" w:space="0" w:color="auto"/>
      </w:divBdr>
    </w:div>
    <w:div w:id="1790273592">
      <w:bodyDiv w:val="1"/>
      <w:marLeft w:val="0"/>
      <w:marRight w:val="0"/>
      <w:marTop w:val="0"/>
      <w:marBottom w:val="0"/>
      <w:divBdr>
        <w:top w:val="none" w:sz="0" w:space="0" w:color="auto"/>
        <w:left w:val="none" w:sz="0" w:space="0" w:color="auto"/>
        <w:bottom w:val="none" w:sz="0" w:space="0" w:color="auto"/>
        <w:right w:val="none" w:sz="0" w:space="0" w:color="auto"/>
      </w:divBdr>
    </w:div>
    <w:div w:id="1937320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1" i="0" u="none" strike="noStrike" kern="1200" spc="0" baseline="0">
                <a:solidFill>
                  <a:schemeClr val="tx1">
                    <a:lumMod val="65000"/>
                    <a:lumOff val="35000"/>
                  </a:schemeClr>
                </a:solidFill>
                <a:latin typeface="宋体" panose="02010600030101010101" charset="-122"/>
                <a:ea typeface="宋体" panose="02010600030101010101" charset="-122"/>
                <a:cs typeface="+mn-cs"/>
              </a:defRPr>
            </a:pPr>
            <a:r>
              <a:rPr lang="en-US" altLang="zh-CN" b="1">
                <a:latin typeface="宋体" panose="02010600030101010101" charset="-122"/>
                <a:ea typeface="宋体" panose="02010600030101010101" charset="-122"/>
              </a:rPr>
              <a:t>2021</a:t>
            </a:r>
            <a:r>
              <a:rPr lang="zh-CN" altLang="en-US" b="1">
                <a:latin typeface="宋体" panose="02010600030101010101" charset="-122"/>
                <a:ea typeface="宋体" panose="02010600030101010101" charset="-122"/>
              </a:rPr>
              <a:t>年第一季度珲春林区基层法院收结存总体同比情况</a:t>
            </a:r>
          </a:p>
        </c:rich>
      </c:tx>
      <c:spPr>
        <a:noFill/>
        <a:ln>
          <a:noFill/>
        </a:ln>
        <a:effectLst/>
      </c:spPr>
    </c:title>
    <c:plotArea>
      <c:layout>
        <c:manualLayout>
          <c:layoutTarget val="inner"/>
          <c:xMode val="edge"/>
          <c:yMode val="edge"/>
          <c:x val="6.3204018102388362E-2"/>
          <c:y val="0.23839332583427253"/>
          <c:w val="0.90135855111134056"/>
          <c:h val="0.61673884514435695"/>
        </c:manualLayout>
      </c:layout>
      <c:barChart>
        <c:barDir val="col"/>
        <c:grouping val="clustered"/>
        <c:ser>
          <c:idx val="0"/>
          <c:order val="0"/>
          <c:tx>
            <c:strRef>
              <c:f>Sheet1!$B$1</c:f>
              <c:strCache>
                <c:ptCount val="1"/>
                <c:pt idx="0">
                  <c:v>2020年第一季度</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1">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旧存</c:v>
                </c:pt>
                <c:pt idx="1">
                  <c:v>新收</c:v>
                </c:pt>
                <c:pt idx="2">
                  <c:v>未结</c:v>
                </c:pt>
                <c:pt idx="3">
                  <c:v>已结</c:v>
                </c:pt>
              </c:strCache>
            </c:strRef>
          </c:cat>
          <c:val>
            <c:numRef>
              <c:f>Sheet1!$B$2:$B$5</c:f>
              <c:numCache>
                <c:formatCode>General</c:formatCode>
                <c:ptCount val="4"/>
                <c:pt idx="0">
                  <c:v>3</c:v>
                </c:pt>
                <c:pt idx="1">
                  <c:v>60</c:v>
                </c:pt>
                <c:pt idx="2">
                  <c:v>18</c:v>
                </c:pt>
                <c:pt idx="3">
                  <c:v>45</c:v>
                </c:pt>
              </c:numCache>
            </c:numRef>
          </c:val>
        </c:ser>
        <c:ser>
          <c:idx val="1"/>
          <c:order val="1"/>
          <c:tx>
            <c:strRef>
              <c:f>Sheet1!$C$1</c:f>
              <c:strCache>
                <c:ptCount val="1"/>
                <c:pt idx="0">
                  <c:v>2021年第一季度</c:v>
                </c:pt>
              </c:strCache>
            </c:strRef>
          </c:tx>
          <c:spPr>
            <a:solidFill>
              <a:schemeClr val="accent2"/>
            </a:solidFill>
            <a:ln>
              <a:noFill/>
            </a:ln>
            <a:effectLst/>
            <a:sp3d/>
          </c:spPr>
          <c:dLbls>
            <c:dLbl>
              <c:idx val="0"/>
              <c:layout>
                <c:manualLayout>
                  <c:x val="4.8611111111111133E-2"/>
                  <c:y val="-2.3809523809524016E-2"/>
                </c:manualLayout>
              </c:layout>
              <c:dLblPos val="outEnd"/>
              <c:showVal val="1"/>
            </c:dLbl>
            <c:dLbl>
              <c:idx val="1"/>
              <c:layout>
                <c:manualLayout>
                  <c:x val="3.9351851851851805E-2"/>
                  <c:y val="-1.984126984127061E-2"/>
                </c:manualLayout>
              </c:layout>
              <c:dLblPos val="outEnd"/>
              <c:showVal val="1"/>
            </c:dLbl>
            <c:dLbl>
              <c:idx val="2"/>
              <c:layout>
                <c:manualLayout>
                  <c:x val="3.472222222222221E-2"/>
                  <c:y val="-7.2750482331557598E-17"/>
                </c:manualLayout>
              </c:layout>
              <c:dLblPos val="outEnd"/>
              <c:showVal val="1"/>
            </c:dLbl>
            <c:dLbl>
              <c:idx val="3"/>
              <c:layout>
                <c:manualLayout>
                  <c:x val="6.0185185185185085E-2"/>
                  <c:y val="-7.9365079365079534E-3"/>
                </c:manualLayout>
              </c:layout>
              <c:dLblPos val="outEnd"/>
              <c:showVal val="1"/>
            </c:dLbl>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2">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noFill/>
                      <a:prstDash val="solid"/>
                      <a:round/>
                    </a:ln>
                    <a:effectLst/>
                  </c:spPr>
                </c15:leaderLines>
              </c:ext>
            </c:extLst>
          </c:dLbls>
          <c:cat>
            <c:strRef>
              <c:f>Sheet1!$A$2:$A$5</c:f>
              <c:strCache>
                <c:ptCount val="4"/>
                <c:pt idx="0">
                  <c:v>旧存</c:v>
                </c:pt>
                <c:pt idx="1">
                  <c:v>新收</c:v>
                </c:pt>
                <c:pt idx="2">
                  <c:v>未结</c:v>
                </c:pt>
                <c:pt idx="3">
                  <c:v>已结</c:v>
                </c:pt>
              </c:strCache>
            </c:strRef>
          </c:cat>
          <c:val>
            <c:numRef>
              <c:f>Sheet1!$C$2:$C$5</c:f>
              <c:numCache>
                <c:formatCode>General</c:formatCode>
                <c:ptCount val="4"/>
                <c:pt idx="0">
                  <c:v>0</c:v>
                </c:pt>
                <c:pt idx="1">
                  <c:v>41</c:v>
                </c:pt>
                <c:pt idx="2">
                  <c:v>1</c:v>
                </c:pt>
                <c:pt idx="3">
                  <c:v>40</c:v>
                </c:pt>
              </c:numCache>
            </c:numRef>
          </c:val>
        </c:ser>
        <c:dLbls>
          <c:showVal val="1"/>
        </c:dLbls>
        <c:axId val="217064960"/>
        <c:axId val="217066880"/>
      </c:barChart>
      <c:catAx>
        <c:axId val="217064960"/>
        <c:scaling>
          <c:orientation val="minMax"/>
        </c:scaling>
        <c:axPos val="b"/>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100" b="0" i="0" u="none" strike="noStrike" kern="1200" baseline="0">
                <a:solidFill>
                  <a:srgbClr val="0070C0"/>
                </a:solidFill>
                <a:latin typeface="+mn-lt"/>
                <a:ea typeface="+mn-ea"/>
                <a:cs typeface="+mn-cs"/>
              </a:defRPr>
            </a:pPr>
            <a:endParaRPr lang="zh-CN"/>
          </a:p>
        </c:txPr>
        <c:crossAx val="217066880"/>
        <c:crosses val="autoZero"/>
        <c:auto val="1"/>
        <c:lblAlgn val="ctr"/>
        <c:lblOffset val="100"/>
      </c:catAx>
      <c:valAx>
        <c:axId val="21706688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7064960"/>
        <c:crosses val="autoZero"/>
        <c:crossBetween val="between"/>
      </c:valAx>
      <c:spPr>
        <a:noFill/>
        <a:ln>
          <a:noFill/>
        </a:ln>
        <a:effectLst/>
      </c:spPr>
    </c:plotArea>
    <c:legend>
      <c:legendPos val="t"/>
      <c:layout>
        <c:manualLayout>
          <c:xMode val="edge"/>
          <c:yMode val="edge"/>
          <c:x val="0.34479765610694013"/>
          <c:y val="0.12857142857142936"/>
          <c:w val="0.33932177082515935"/>
          <c:h val="6.6964754405699281E-2"/>
        </c:manualLayout>
      </c:layout>
      <c:txPr>
        <a:bodyPr rot="0" vert="horz"/>
        <a:lstStyle/>
        <a:p>
          <a:pPr>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lgn="ctr">
              <a:defRPr lang="zh-CN" sz="1400" b="0" i="0" u="none" strike="noStrike" kern="1200" spc="0" baseline="0">
                <a:solidFill>
                  <a:schemeClr val="tx1">
                    <a:lumMod val="65000"/>
                    <a:lumOff val="35000"/>
                  </a:schemeClr>
                </a:solidFill>
                <a:latin typeface="宋体" panose="02010600030101010101" charset="-122"/>
                <a:ea typeface="宋体" panose="02010600030101010101" charset="-122"/>
                <a:cs typeface="+mn-cs"/>
              </a:defRPr>
            </a:pPr>
            <a:r>
              <a:rPr lang="en-US" altLang="zh-CN" sz="1400" b="1">
                <a:latin typeface="宋体" panose="02010600030101010101" charset="-122"/>
                <a:ea typeface="宋体" panose="02010600030101010101" charset="-122"/>
              </a:rPr>
              <a:t>2021</a:t>
            </a:r>
            <a:r>
              <a:rPr lang="zh-CN" altLang="en-US" sz="1400" b="1">
                <a:latin typeface="宋体" panose="02010600030101010101" charset="-122"/>
                <a:ea typeface="宋体" panose="02010600030101010101" charset="-122"/>
              </a:rPr>
              <a:t>年第一季度珲春林区基层法院</a:t>
            </a:r>
            <a:endParaRPr lang="en-US" altLang="zh-CN" sz="1400" b="1">
              <a:latin typeface="宋体" panose="02010600030101010101" charset="-122"/>
              <a:ea typeface="宋体" panose="02010600030101010101" charset="-122"/>
            </a:endParaRPr>
          </a:p>
          <a:p>
            <a:pPr algn="ctr">
              <a:defRPr lang="zh-CN" sz="1400" b="0" i="0" u="none" strike="noStrike" kern="1200" spc="0" baseline="0">
                <a:solidFill>
                  <a:schemeClr val="tx1">
                    <a:lumMod val="65000"/>
                    <a:lumOff val="35000"/>
                  </a:schemeClr>
                </a:solidFill>
                <a:latin typeface="宋体" panose="02010600030101010101" charset="-122"/>
                <a:ea typeface="宋体" panose="02010600030101010101" charset="-122"/>
                <a:cs typeface="+mn-cs"/>
              </a:defRPr>
            </a:pPr>
            <a:r>
              <a:rPr lang="zh-CN" altLang="en-US" sz="1400" b="1">
                <a:latin typeface="宋体" panose="02010600030101010101" charset="-122"/>
                <a:ea typeface="宋体" panose="02010600030101010101" charset="-122"/>
              </a:rPr>
              <a:t>诉讼案件收结存同比情况</a:t>
            </a:r>
          </a:p>
        </c:rich>
      </c:tx>
      <c:layout>
        <c:manualLayout>
          <c:xMode val="edge"/>
          <c:yMode val="edge"/>
          <c:x val="0.29688081793746984"/>
          <c:y val="4.6035938413791999E-2"/>
        </c:manualLayout>
      </c:layout>
      <c:spPr>
        <a:noFill/>
        <a:ln>
          <a:noFill/>
        </a:ln>
        <a:effectLst/>
      </c:spPr>
    </c:title>
    <c:plotArea>
      <c:layout/>
      <c:barChart>
        <c:barDir val="col"/>
        <c:grouping val="clustered"/>
        <c:ser>
          <c:idx val="0"/>
          <c:order val="0"/>
          <c:tx>
            <c:strRef>
              <c:f>Sheet1!$B$1</c:f>
              <c:strCache>
                <c:ptCount val="1"/>
                <c:pt idx="0">
                  <c:v>2020年第一季度</c:v>
                </c:pt>
              </c:strCache>
            </c:strRef>
          </c:tx>
          <c:dLbls>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rgbClr val="0070C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旧存</c:v>
                </c:pt>
                <c:pt idx="1">
                  <c:v>新收</c:v>
                </c:pt>
                <c:pt idx="2">
                  <c:v>未结</c:v>
                </c:pt>
                <c:pt idx="3">
                  <c:v>已结</c:v>
                </c:pt>
              </c:strCache>
            </c:strRef>
          </c:cat>
          <c:val>
            <c:numRef>
              <c:f>Sheet1!$B$2:$B$5</c:f>
              <c:numCache>
                <c:formatCode>General</c:formatCode>
                <c:ptCount val="4"/>
                <c:pt idx="0">
                  <c:v>2</c:v>
                </c:pt>
                <c:pt idx="1">
                  <c:v>33</c:v>
                </c:pt>
                <c:pt idx="2">
                  <c:v>15</c:v>
                </c:pt>
                <c:pt idx="3">
                  <c:v>20</c:v>
                </c:pt>
              </c:numCache>
            </c:numRef>
          </c:val>
        </c:ser>
        <c:ser>
          <c:idx val="1"/>
          <c:order val="1"/>
          <c:tx>
            <c:strRef>
              <c:f>Sheet1!$C$1</c:f>
              <c:strCache>
                <c:ptCount val="1"/>
                <c:pt idx="0">
                  <c:v>2021年第一季度</c:v>
                </c:pt>
              </c:strCache>
            </c:strRef>
          </c:tx>
          <c:spPr>
            <a:solidFill>
              <a:schemeClr val="accent2"/>
            </a:solidFill>
            <a:ln>
              <a:noFill/>
            </a:ln>
            <a:effectLst/>
            <a:sp3d/>
          </c:spPr>
          <c:dLbls>
            <c:dLbl>
              <c:idx val="0"/>
              <c:layout>
                <c:manualLayout>
                  <c:x val="2.7777777777780344E-2"/>
                  <c:y val="0"/>
                </c:manualLayout>
              </c:layout>
              <c:dLblPos val="outEnd"/>
              <c:showVal val="1"/>
            </c:dLbl>
            <c:dLbl>
              <c:idx val="1"/>
              <c:layout>
                <c:manualLayout>
                  <c:x val="3.4722222222222203E-2"/>
                  <c:y val="0"/>
                </c:manualLayout>
              </c:layout>
              <c:dLblPos val="outEnd"/>
              <c:showVal val="1"/>
            </c:dLbl>
            <c:dLbl>
              <c:idx val="2"/>
              <c:layout>
                <c:manualLayout>
                  <c:x val="3.240740740740939E-2"/>
                  <c:y val="0"/>
                </c:manualLayout>
              </c:layout>
              <c:dLblPos val="outEnd"/>
              <c:showVal val="1"/>
            </c:dLbl>
            <c:dLbl>
              <c:idx val="3"/>
              <c:layout>
                <c:manualLayout>
                  <c:x val="3.240740740740939E-2"/>
                  <c:y val="-1.1904761904761921E-2"/>
                </c:manualLayout>
              </c:layout>
              <c:dLblPos val="outEnd"/>
              <c:showVal val="1"/>
            </c:dLbl>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2">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旧存</c:v>
                </c:pt>
                <c:pt idx="1">
                  <c:v>新收</c:v>
                </c:pt>
                <c:pt idx="2">
                  <c:v>未结</c:v>
                </c:pt>
                <c:pt idx="3">
                  <c:v>已结</c:v>
                </c:pt>
              </c:strCache>
            </c:strRef>
          </c:cat>
          <c:val>
            <c:numRef>
              <c:f>Sheet1!$C$2:$C$5</c:f>
              <c:numCache>
                <c:formatCode>General</c:formatCode>
                <c:ptCount val="4"/>
                <c:pt idx="0">
                  <c:v>0</c:v>
                </c:pt>
                <c:pt idx="1">
                  <c:v>15</c:v>
                </c:pt>
                <c:pt idx="2">
                  <c:v>1</c:v>
                </c:pt>
                <c:pt idx="3">
                  <c:v>14</c:v>
                </c:pt>
              </c:numCache>
            </c:numRef>
          </c:val>
        </c:ser>
        <c:dLbls>
          <c:showVal val="1"/>
        </c:dLbls>
        <c:axId val="217180032"/>
        <c:axId val="217181568"/>
      </c:barChart>
      <c:catAx>
        <c:axId val="217180032"/>
        <c:scaling>
          <c:orientation val="minMax"/>
        </c:scaling>
        <c:axPos val="b"/>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100" b="0" i="0" u="none" strike="noStrike" kern="1200" baseline="0">
                <a:solidFill>
                  <a:srgbClr val="0070C0"/>
                </a:solidFill>
                <a:latin typeface="+mn-lt"/>
                <a:ea typeface="+mn-ea"/>
                <a:cs typeface="+mn-cs"/>
              </a:defRPr>
            </a:pPr>
            <a:endParaRPr lang="zh-CN"/>
          </a:p>
        </c:txPr>
        <c:crossAx val="217181568"/>
        <c:crosses val="autoZero"/>
        <c:auto val="1"/>
        <c:lblAlgn val="ctr"/>
        <c:lblOffset val="100"/>
      </c:catAx>
      <c:valAx>
        <c:axId val="217181568"/>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718003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lgn="ctr">
              <a:defRPr lang="zh-CN" sz="1800" b="1" i="0" u="none" strike="noStrike" kern="1200" baseline="0">
                <a:solidFill>
                  <a:schemeClr val="tx1"/>
                </a:solidFill>
                <a:latin typeface="+mn-lt"/>
                <a:ea typeface="+mn-ea"/>
                <a:cs typeface="+mn-cs"/>
              </a:defRPr>
            </a:pPr>
            <a:r>
              <a:rPr lang="en-US" altLang="zh-CN" sz="1400" b="0">
                <a:latin typeface="+mn-ea"/>
                <a:ea typeface="+mn-ea"/>
              </a:rPr>
              <a:t>2021</a:t>
            </a:r>
            <a:r>
              <a:rPr lang="zh-CN" altLang="en-US" sz="1400" b="0">
                <a:latin typeface="+mn-ea"/>
                <a:ea typeface="+mn-ea"/>
              </a:rPr>
              <a:t>年第一季度珲春林区基层法院</a:t>
            </a:r>
            <a:endParaRPr lang="en-US" altLang="zh-CN" sz="1400" b="0">
              <a:latin typeface="+mn-ea"/>
              <a:ea typeface="+mn-ea"/>
            </a:endParaRPr>
          </a:p>
          <a:p>
            <a:pPr algn="ctr">
              <a:defRPr lang="zh-CN" sz="1800" b="1" i="0" u="none" strike="noStrike" kern="1200" baseline="0">
                <a:solidFill>
                  <a:schemeClr val="tx1"/>
                </a:solidFill>
                <a:latin typeface="+mn-lt"/>
                <a:ea typeface="+mn-ea"/>
                <a:cs typeface="+mn-cs"/>
              </a:defRPr>
            </a:pPr>
            <a:r>
              <a:rPr lang="zh-CN" altLang="en-US" sz="1400" b="0">
                <a:latin typeface="+mn-ea"/>
                <a:ea typeface="+mn-ea"/>
              </a:rPr>
              <a:t>执行案件收结存同比情况</a:t>
            </a:r>
          </a:p>
        </c:rich>
      </c:tx>
      <c:layout>
        <c:manualLayout>
          <c:xMode val="edge"/>
          <c:yMode val="edge"/>
          <c:x val="0.21806539807524392"/>
          <c:y val="4.4167906332555414E-2"/>
        </c:manualLayout>
      </c:layout>
    </c:title>
    <c:plotArea>
      <c:layout/>
      <c:barChart>
        <c:barDir val="col"/>
        <c:grouping val="clustered"/>
        <c:ser>
          <c:idx val="0"/>
          <c:order val="0"/>
          <c:tx>
            <c:strRef>
              <c:f>Sheet1!$B$1</c:f>
              <c:strCache>
                <c:ptCount val="1"/>
                <c:pt idx="0">
                  <c:v>2020年第一季度</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Sheet1!$A$2:$A$5</c:f>
              <c:strCache>
                <c:ptCount val="4"/>
                <c:pt idx="0">
                  <c:v>旧存</c:v>
                </c:pt>
                <c:pt idx="1">
                  <c:v>新收</c:v>
                </c:pt>
                <c:pt idx="2">
                  <c:v>未结</c:v>
                </c:pt>
                <c:pt idx="3">
                  <c:v>已结</c:v>
                </c:pt>
              </c:strCache>
            </c:strRef>
          </c:cat>
          <c:val>
            <c:numRef>
              <c:f>Sheet1!$B$2:$B$5</c:f>
              <c:numCache>
                <c:formatCode>General</c:formatCode>
                <c:ptCount val="4"/>
                <c:pt idx="0">
                  <c:v>1</c:v>
                </c:pt>
                <c:pt idx="1">
                  <c:v>27</c:v>
                </c:pt>
                <c:pt idx="2">
                  <c:v>3</c:v>
                </c:pt>
                <c:pt idx="3">
                  <c:v>25</c:v>
                </c:pt>
              </c:numCache>
            </c:numRef>
          </c:val>
        </c:ser>
        <c:ser>
          <c:idx val="1"/>
          <c:order val="1"/>
          <c:tx>
            <c:strRef>
              <c:f>Sheet1!$C$1</c:f>
              <c:strCache>
                <c:ptCount val="1"/>
                <c:pt idx="0">
                  <c:v>2021年第一季度</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Sheet1!$A$2:$A$5</c:f>
              <c:strCache>
                <c:ptCount val="4"/>
                <c:pt idx="0">
                  <c:v>旧存</c:v>
                </c:pt>
                <c:pt idx="1">
                  <c:v>新收</c:v>
                </c:pt>
                <c:pt idx="2">
                  <c:v>未结</c:v>
                </c:pt>
                <c:pt idx="3">
                  <c:v>已结</c:v>
                </c:pt>
              </c:strCache>
            </c:strRef>
          </c:cat>
          <c:val>
            <c:numRef>
              <c:f>Sheet1!$C$2:$C$5</c:f>
              <c:numCache>
                <c:formatCode>General</c:formatCode>
                <c:ptCount val="4"/>
                <c:pt idx="0">
                  <c:v>0</c:v>
                </c:pt>
                <c:pt idx="1">
                  <c:v>26</c:v>
                </c:pt>
                <c:pt idx="2">
                  <c:v>0</c:v>
                </c:pt>
                <c:pt idx="3">
                  <c:v>26</c:v>
                </c:pt>
              </c:numCache>
            </c:numRef>
          </c:val>
        </c:ser>
        <c:dLbls>
          <c:showVal val="1"/>
        </c:dLbls>
        <c:axId val="217330432"/>
        <c:axId val="217331968"/>
      </c:barChart>
      <c:catAx>
        <c:axId val="217330432"/>
        <c:scaling>
          <c:orientation val="minMax"/>
        </c:scaling>
        <c:axPos val="b"/>
        <c:numFmt formatCode="General" sourceLinked="0"/>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17331968"/>
        <c:crosses val="autoZero"/>
        <c:auto val="1"/>
        <c:lblAlgn val="ctr"/>
        <c:lblOffset val="100"/>
      </c:catAx>
      <c:valAx>
        <c:axId val="217331968"/>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17330432"/>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3A06F8-A4C4-4C90-91BD-5AF8CD6D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453</Words>
  <Characters>2586</Characters>
  <Application>Microsoft Office Word</Application>
  <DocSecurity>0</DocSecurity>
  <Lines>21</Lines>
  <Paragraphs>6</Paragraphs>
  <ScaleCrop>false</ScaleCrop>
  <Company>Micorosoft</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张昕</cp:lastModifiedBy>
  <cp:revision>9</cp:revision>
  <cp:lastPrinted>2020-01-03T05:32:00Z</cp:lastPrinted>
  <dcterms:created xsi:type="dcterms:W3CDTF">2021-04-01T03:07:00Z</dcterms:created>
  <dcterms:modified xsi:type="dcterms:W3CDTF">2021-04-06T01:54:00Z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