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F7" w:rsidRPr="00C3195B" w:rsidRDefault="00B168B4" w:rsidP="00694C68">
      <w:pPr>
        <w:spacing w:after="0" w:line="360" w:lineRule="auto"/>
        <w:ind w:firstLineChars="400" w:firstLine="1767"/>
        <w:rPr>
          <w:rFonts w:asciiTheme="majorEastAsia" w:eastAsiaTheme="majorEastAsia" w:hAnsiTheme="majorEastAsia"/>
          <w:b/>
          <w:sz w:val="44"/>
          <w:szCs w:val="44"/>
        </w:rPr>
      </w:pPr>
      <w:r>
        <w:rPr>
          <w:rFonts w:asciiTheme="majorEastAsia" w:eastAsiaTheme="majorEastAsia" w:hAnsiTheme="majorEastAsia" w:hint="eastAsia"/>
          <w:b/>
          <w:sz w:val="44"/>
          <w:szCs w:val="44"/>
        </w:rPr>
        <w:t>珲春林区基层法院</w:t>
      </w:r>
      <w:r w:rsidR="00694C68">
        <w:rPr>
          <w:rFonts w:asciiTheme="majorEastAsia" w:eastAsiaTheme="majorEastAsia" w:hAnsiTheme="majorEastAsia" w:hint="eastAsia"/>
          <w:b/>
          <w:sz w:val="44"/>
          <w:szCs w:val="44"/>
        </w:rPr>
        <w:t>2022</w:t>
      </w:r>
      <w:r w:rsidR="009D5D42">
        <w:rPr>
          <w:rFonts w:asciiTheme="majorEastAsia" w:eastAsiaTheme="majorEastAsia" w:hAnsiTheme="majorEastAsia" w:hint="eastAsia"/>
          <w:b/>
          <w:sz w:val="44"/>
          <w:szCs w:val="44"/>
        </w:rPr>
        <w:t>年</w:t>
      </w:r>
      <w:r w:rsidR="00694C68">
        <w:rPr>
          <w:rFonts w:asciiTheme="majorEastAsia" w:eastAsiaTheme="majorEastAsia" w:hAnsiTheme="majorEastAsia" w:hint="eastAsia"/>
          <w:b/>
          <w:sz w:val="44"/>
          <w:szCs w:val="44"/>
        </w:rPr>
        <w:t>上半年</w:t>
      </w:r>
    </w:p>
    <w:p w:rsidR="00B03921" w:rsidRPr="00B03921" w:rsidRDefault="009D5D42" w:rsidP="00FF074A">
      <w:pPr>
        <w:spacing w:after="0" w:line="360" w:lineRule="auto"/>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 xml:space="preserve">  </w:t>
      </w:r>
      <w:r w:rsidR="00AE6944">
        <w:rPr>
          <w:rFonts w:asciiTheme="majorEastAsia" w:eastAsiaTheme="majorEastAsia" w:hAnsiTheme="majorEastAsia" w:hint="eastAsia"/>
          <w:b/>
          <w:sz w:val="44"/>
          <w:szCs w:val="44"/>
        </w:rPr>
        <w:t>审判</w:t>
      </w:r>
      <w:r w:rsidR="00273139">
        <w:rPr>
          <w:rFonts w:asciiTheme="majorEastAsia" w:eastAsiaTheme="majorEastAsia" w:hAnsiTheme="majorEastAsia" w:hint="eastAsia"/>
          <w:b/>
          <w:sz w:val="44"/>
          <w:szCs w:val="44"/>
        </w:rPr>
        <w:t>执行工作运行</w:t>
      </w:r>
      <w:r w:rsidR="00AE6944">
        <w:rPr>
          <w:rFonts w:asciiTheme="majorEastAsia" w:eastAsiaTheme="majorEastAsia" w:hAnsiTheme="majorEastAsia" w:hint="eastAsia"/>
          <w:b/>
          <w:sz w:val="44"/>
          <w:szCs w:val="44"/>
        </w:rPr>
        <w:t>态势分析</w:t>
      </w:r>
      <w:r w:rsidR="00273139">
        <w:rPr>
          <w:rFonts w:asciiTheme="majorEastAsia" w:eastAsiaTheme="majorEastAsia" w:hAnsiTheme="majorEastAsia" w:hint="eastAsia"/>
          <w:b/>
          <w:sz w:val="44"/>
          <w:szCs w:val="44"/>
        </w:rPr>
        <w:t>报告</w:t>
      </w:r>
    </w:p>
    <w:p w:rsidR="00E85FE2" w:rsidRDefault="00E85FE2" w:rsidP="00C3195B">
      <w:pPr>
        <w:spacing w:after="0" w:line="360" w:lineRule="auto"/>
        <w:ind w:firstLineChars="200" w:firstLine="640"/>
        <w:jc w:val="both"/>
        <w:rPr>
          <w:rFonts w:ascii="仿宋" w:eastAsia="仿宋" w:hAnsi="仿宋"/>
          <w:sz w:val="32"/>
          <w:szCs w:val="32"/>
        </w:rPr>
      </w:pPr>
    </w:p>
    <w:p w:rsidR="006F22F7" w:rsidRDefault="00CD57E3" w:rsidP="00C3195B">
      <w:pPr>
        <w:spacing w:after="0" w:line="360" w:lineRule="auto"/>
        <w:ind w:firstLineChars="200" w:firstLine="640"/>
        <w:jc w:val="both"/>
        <w:rPr>
          <w:rFonts w:ascii="仿宋" w:eastAsia="仿宋" w:hAnsi="仿宋"/>
          <w:sz w:val="32"/>
          <w:szCs w:val="32"/>
        </w:rPr>
      </w:pPr>
      <w:r>
        <w:rPr>
          <w:rFonts w:ascii="仿宋" w:eastAsia="仿宋" w:hAnsi="仿宋" w:hint="eastAsia"/>
          <w:sz w:val="32"/>
          <w:szCs w:val="32"/>
        </w:rPr>
        <w:t>根据数字法院业务应用系统提取</w:t>
      </w:r>
      <w:r w:rsidR="00BE3AFB">
        <w:rPr>
          <w:rFonts w:ascii="仿宋" w:eastAsia="仿宋" w:hAnsi="仿宋" w:hint="eastAsia"/>
          <w:sz w:val="32"/>
          <w:szCs w:val="32"/>
        </w:rPr>
        <w:t>的</w:t>
      </w:r>
      <w:r>
        <w:rPr>
          <w:rFonts w:ascii="仿宋" w:eastAsia="仿宋" w:hAnsi="仿宋" w:hint="eastAsia"/>
          <w:sz w:val="32"/>
          <w:szCs w:val="32"/>
        </w:rPr>
        <w:t>珲春林区基层法院</w:t>
      </w:r>
      <w:r w:rsidR="00AE6944">
        <w:rPr>
          <w:rFonts w:ascii="仿宋" w:eastAsia="仿宋" w:hAnsi="仿宋" w:hint="eastAsia"/>
          <w:sz w:val="32"/>
          <w:szCs w:val="32"/>
        </w:rPr>
        <w:t>案</w:t>
      </w:r>
      <w:r>
        <w:rPr>
          <w:rFonts w:ascii="仿宋" w:eastAsia="仿宋" w:hAnsi="仿宋" w:hint="eastAsia"/>
          <w:sz w:val="32"/>
          <w:szCs w:val="32"/>
        </w:rPr>
        <w:t>件数据，我院</w:t>
      </w:r>
      <w:r w:rsidR="00A078DF">
        <w:rPr>
          <w:rFonts w:ascii="仿宋" w:eastAsia="仿宋" w:hAnsi="仿宋" w:hint="eastAsia"/>
          <w:sz w:val="32"/>
          <w:szCs w:val="32"/>
        </w:rPr>
        <w:t>审判管理办公室</w:t>
      </w:r>
      <w:r w:rsidR="00AE6944">
        <w:rPr>
          <w:rFonts w:ascii="仿宋" w:eastAsia="仿宋" w:hAnsi="仿宋" w:hint="eastAsia"/>
          <w:sz w:val="32"/>
          <w:szCs w:val="32"/>
        </w:rPr>
        <w:t>对</w:t>
      </w:r>
      <w:r w:rsidR="00694C68">
        <w:rPr>
          <w:rFonts w:ascii="仿宋" w:eastAsia="仿宋" w:hAnsi="仿宋" w:hint="eastAsia"/>
          <w:sz w:val="32"/>
          <w:szCs w:val="32"/>
        </w:rPr>
        <w:t>2022年</w:t>
      </w:r>
      <w:r w:rsidR="00AE6944">
        <w:rPr>
          <w:rFonts w:ascii="仿宋" w:eastAsia="仿宋" w:hAnsi="仿宋" w:hint="eastAsia"/>
          <w:sz w:val="32"/>
          <w:szCs w:val="32"/>
        </w:rPr>
        <w:t>1月1日至</w:t>
      </w:r>
      <w:r w:rsidR="00694C68">
        <w:rPr>
          <w:rFonts w:ascii="仿宋" w:eastAsia="仿宋" w:hAnsi="仿宋" w:hint="eastAsia"/>
          <w:sz w:val="32"/>
          <w:szCs w:val="32"/>
        </w:rPr>
        <w:t>2022年6</w:t>
      </w:r>
      <w:r w:rsidR="00AE6944">
        <w:rPr>
          <w:rFonts w:ascii="仿宋" w:eastAsia="仿宋" w:hAnsi="仿宋" w:hint="eastAsia"/>
          <w:sz w:val="32"/>
          <w:szCs w:val="32"/>
        </w:rPr>
        <w:t>月</w:t>
      </w:r>
      <w:r w:rsidR="00662776">
        <w:rPr>
          <w:rFonts w:ascii="仿宋" w:eastAsia="仿宋" w:hAnsi="仿宋" w:hint="eastAsia"/>
          <w:sz w:val="32"/>
          <w:szCs w:val="32"/>
        </w:rPr>
        <w:t>3</w:t>
      </w:r>
      <w:r w:rsidR="00694C68">
        <w:rPr>
          <w:rFonts w:ascii="仿宋" w:eastAsia="仿宋" w:hAnsi="仿宋" w:hint="eastAsia"/>
          <w:sz w:val="32"/>
          <w:szCs w:val="32"/>
        </w:rPr>
        <w:t>0</w:t>
      </w:r>
      <w:r w:rsidR="00B168B4">
        <w:rPr>
          <w:rFonts w:ascii="仿宋" w:eastAsia="仿宋" w:hAnsi="仿宋" w:hint="eastAsia"/>
          <w:sz w:val="32"/>
          <w:szCs w:val="32"/>
        </w:rPr>
        <w:t>日期间</w:t>
      </w:r>
      <w:r w:rsidR="00AE6944">
        <w:rPr>
          <w:rFonts w:ascii="仿宋" w:eastAsia="仿宋" w:hAnsi="仿宋" w:hint="eastAsia"/>
          <w:sz w:val="32"/>
          <w:szCs w:val="32"/>
        </w:rPr>
        <w:t>审判执行</w:t>
      </w:r>
      <w:r w:rsidR="00404E4A">
        <w:rPr>
          <w:rFonts w:ascii="仿宋" w:eastAsia="仿宋" w:hAnsi="仿宋" w:hint="eastAsia"/>
          <w:sz w:val="32"/>
          <w:szCs w:val="32"/>
        </w:rPr>
        <w:t>工作运行态势</w:t>
      </w:r>
      <w:r>
        <w:rPr>
          <w:rFonts w:ascii="仿宋" w:eastAsia="仿宋" w:hAnsi="仿宋" w:hint="eastAsia"/>
          <w:sz w:val="32"/>
          <w:szCs w:val="32"/>
        </w:rPr>
        <w:t>情况</w:t>
      </w:r>
      <w:r w:rsidR="00AE6944">
        <w:rPr>
          <w:rFonts w:ascii="仿宋" w:eastAsia="仿宋" w:hAnsi="仿宋" w:hint="eastAsia"/>
          <w:sz w:val="32"/>
          <w:szCs w:val="32"/>
        </w:rPr>
        <w:t>汇总分析</w:t>
      </w:r>
      <w:r>
        <w:rPr>
          <w:rFonts w:ascii="仿宋" w:eastAsia="仿宋" w:hAnsi="仿宋" w:hint="eastAsia"/>
          <w:sz w:val="32"/>
          <w:szCs w:val="32"/>
        </w:rPr>
        <w:t>如下：</w:t>
      </w:r>
    </w:p>
    <w:p w:rsidR="0033286B" w:rsidRPr="0045554F" w:rsidRDefault="00AE6944" w:rsidP="0045554F">
      <w:pPr>
        <w:spacing w:after="0" w:line="360" w:lineRule="auto"/>
        <w:ind w:firstLineChars="200" w:firstLine="640"/>
        <w:jc w:val="both"/>
        <w:rPr>
          <w:rFonts w:ascii="黑体" w:eastAsia="黑体" w:hAnsi="黑体"/>
          <w:color w:val="FF0000"/>
          <w:sz w:val="32"/>
          <w:szCs w:val="32"/>
        </w:rPr>
      </w:pPr>
      <w:r w:rsidRPr="0045554F">
        <w:rPr>
          <w:rFonts w:ascii="黑体" w:eastAsia="黑体" w:hAnsi="黑体" w:hint="eastAsia"/>
          <w:sz w:val="32"/>
          <w:szCs w:val="32"/>
        </w:rPr>
        <w:t>一、</w:t>
      </w:r>
      <w:r w:rsidR="0045554F" w:rsidRPr="0045554F">
        <w:rPr>
          <w:rFonts w:ascii="黑体" w:eastAsia="黑体" w:hAnsi="黑体" w:hint="eastAsia"/>
          <w:sz w:val="32"/>
          <w:szCs w:val="32"/>
        </w:rPr>
        <w:t>审判质效</w:t>
      </w:r>
    </w:p>
    <w:p w:rsidR="00BE3AFB" w:rsidRPr="0045554F" w:rsidRDefault="0045554F" w:rsidP="0045554F">
      <w:pPr>
        <w:spacing w:after="0" w:line="360" w:lineRule="auto"/>
        <w:ind w:firstLineChars="196" w:firstLine="630"/>
        <w:jc w:val="both"/>
        <w:rPr>
          <w:rFonts w:ascii="宋体" w:eastAsia="宋体" w:hAnsi="宋体"/>
          <w:b/>
          <w:sz w:val="32"/>
          <w:szCs w:val="32"/>
        </w:rPr>
      </w:pPr>
      <w:r w:rsidRPr="0045554F">
        <w:rPr>
          <w:rFonts w:ascii="宋体" w:eastAsia="宋体" w:hAnsi="宋体" w:hint="eastAsia"/>
          <w:b/>
          <w:sz w:val="32"/>
          <w:szCs w:val="32"/>
        </w:rPr>
        <w:t>（一）</w:t>
      </w:r>
      <w:r w:rsidR="00BE3AFB" w:rsidRPr="0045554F">
        <w:rPr>
          <w:rFonts w:ascii="宋体" w:eastAsia="宋体" w:hAnsi="宋体" w:hint="eastAsia"/>
          <w:b/>
          <w:sz w:val="32"/>
          <w:szCs w:val="32"/>
        </w:rPr>
        <w:t>收结案</w:t>
      </w:r>
      <w:r w:rsidRPr="0045554F">
        <w:rPr>
          <w:rFonts w:ascii="宋体" w:eastAsia="宋体" w:hAnsi="宋体" w:hint="eastAsia"/>
          <w:b/>
          <w:sz w:val="32"/>
          <w:szCs w:val="32"/>
        </w:rPr>
        <w:t>总体</w:t>
      </w:r>
      <w:r w:rsidR="00BE3AFB" w:rsidRPr="0045554F">
        <w:rPr>
          <w:rFonts w:ascii="宋体" w:eastAsia="宋体" w:hAnsi="宋体" w:hint="eastAsia"/>
          <w:b/>
          <w:sz w:val="32"/>
          <w:szCs w:val="32"/>
        </w:rPr>
        <w:t>情况</w:t>
      </w:r>
      <w:r w:rsidR="003E164D" w:rsidRPr="0045554F">
        <w:rPr>
          <w:rFonts w:ascii="宋体" w:eastAsia="宋体" w:hAnsi="宋体" w:hint="eastAsia"/>
          <w:b/>
          <w:sz w:val="32"/>
          <w:szCs w:val="32"/>
        </w:rPr>
        <w:t>：</w:t>
      </w:r>
    </w:p>
    <w:p w:rsidR="00DB0FB7" w:rsidRPr="00DB0FB7" w:rsidRDefault="00694C68" w:rsidP="00DB0FB7">
      <w:pPr>
        <w:spacing w:after="0" w:line="360" w:lineRule="auto"/>
        <w:ind w:firstLineChars="200" w:firstLine="640"/>
        <w:jc w:val="both"/>
        <w:rPr>
          <w:rFonts w:ascii="仿宋" w:eastAsia="仿宋" w:hAnsi="仿宋"/>
          <w:sz w:val="32"/>
          <w:szCs w:val="32"/>
        </w:rPr>
      </w:pPr>
      <w:r>
        <w:rPr>
          <w:rFonts w:ascii="仿宋" w:eastAsia="仿宋" w:hAnsi="仿宋" w:hint="eastAsia"/>
          <w:sz w:val="32"/>
          <w:szCs w:val="32"/>
        </w:rPr>
        <w:t>2022年</w:t>
      </w:r>
      <w:r w:rsidRPr="00B806ED">
        <w:rPr>
          <w:rFonts w:ascii="仿宋" w:eastAsia="仿宋" w:hAnsi="仿宋" w:hint="eastAsia"/>
          <w:sz w:val="32"/>
          <w:szCs w:val="32"/>
        </w:rPr>
        <w:t>上半年</w:t>
      </w:r>
      <w:r w:rsidR="00AE6944" w:rsidRPr="00B806ED">
        <w:rPr>
          <w:rFonts w:ascii="仿宋" w:eastAsia="仿宋" w:hAnsi="仿宋" w:hint="eastAsia"/>
          <w:sz w:val="32"/>
          <w:szCs w:val="32"/>
        </w:rPr>
        <w:t>共受理各类案件</w:t>
      </w:r>
      <w:r w:rsidR="008F22BA" w:rsidRPr="00B806ED">
        <w:rPr>
          <w:rFonts w:ascii="仿宋" w:eastAsia="仿宋" w:hAnsi="仿宋" w:hint="eastAsia"/>
          <w:sz w:val="32"/>
          <w:szCs w:val="32"/>
        </w:rPr>
        <w:t>64</w:t>
      </w:r>
      <w:r w:rsidR="00AE6944" w:rsidRPr="00B806ED">
        <w:rPr>
          <w:rFonts w:ascii="仿宋" w:eastAsia="仿宋" w:hAnsi="仿宋" w:hint="eastAsia"/>
          <w:sz w:val="32"/>
          <w:szCs w:val="32"/>
        </w:rPr>
        <w:t>件。</w:t>
      </w:r>
      <w:r w:rsidR="00DB0FB7" w:rsidRPr="00DB0FB7">
        <w:rPr>
          <w:rFonts w:ascii="仿宋" w:eastAsia="仿宋" w:hAnsi="仿宋" w:hint="eastAsia"/>
          <w:sz w:val="32"/>
          <w:szCs w:val="32"/>
        </w:rPr>
        <w:t>我院共受理各类案件64件，其中旧存0件，新收64件，未结3件，已结61件。</w:t>
      </w:r>
    </w:p>
    <w:p w:rsidR="00210006" w:rsidRDefault="00DB0FB7" w:rsidP="00DB0FB7">
      <w:pPr>
        <w:spacing w:after="0" w:line="360" w:lineRule="auto"/>
        <w:ind w:firstLineChars="200" w:firstLine="640"/>
        <w:jc w:val="both"/>
        <w:rPr>
          <w:rFonts w:ascii="仿宋" w:eastAsia="仿宋" w:hAnsi="仿宋"/>
          <w:sz w:val="32"/>
          <w:szCs w:val="32"/>
        </w:rPr>
      </w:pPr>
      <w:r w:rsidRPr="00DB0FB7">
        <w:rPr>
          <w:rFonts w:ascii="仿宋" w:eastAsia="仿宋" w:hAnsi="仿宋" w:hint="eastAsia"/>
          <w:sz w:val="32"/>
          <w:szCs w:val="32"/>
        </w:rPr>
        <w:t>各类案件中，刑事案件5件，结案5件。民事案件13件，结案13件，非诉保全审查案件1件，结案1件。执行案件45件，结案42件，未结3件。</w:t>
      </w:r>
      <w:r w:rsidR="00AE6944" w:rsidRPr="00B806ED">
        <w:rPr>
          <w:rFonts w:ascii="仿宋" w:eastAsia="仿宋" w:hAnsi="仿宋" w:hint="eastAsia"/>
          <w:sz w:val="32"/>
          <w:szCs w:val="32"/>
        </w:rPr>
        <w:t>结案率</w:t>
      </w:r>
      <w:r w:rsidR="008F22BA" w:rsidRPr="00B806ED">
        <w:rPr>
          <w:rFonts w:ascii="仿宋" w:eastAsia="仿宋" w:hAnsi="仿宋" w:hint="eastAsia"/>
          <w:sz w:val="32"/>
          <w:szCs w:val="32"/>
        </w:rPr>
        <w:t>95.31</w:t>
      </w:r>
      <w:r w:rsidR="00AE6944" w:rsidRPr="00B806ED">
        <w:rPr>
          <w:rFonts w:ascii="仿宋" w:eastAsia="仿宋" w:hAnsi="仿宋" w:hint="eastAsia"/>
          <w:sz w:val="32"/>
          <w:szCs w:val="32"/>
        </w:rPr>
        <w:t>%</w:t>
      </w:r>
      <w:r w:rsidR="00CB7D77" w:rsidRPr="00B806ED">
        <w:rPr>
          <w:rFonts w:ascii="仿宋" w:eastAsia="仿宋" w:hAnsi="仿宋" w:hint="eastAsia"/>
          <w:sz w:val="32"/>
          <w:szCs w:val="32"/>
        </w:rPr>
        <w:t>。</w:t>
      </w:r>
    </w:p>
    <w:p w:rsidR="006F22F7" w:rsidRPr="00B806ED" w:rsidRDefault="00DB0FB7" w:rsidP="00DB0FB7">
      <w:pPr>
        <w:spacing w:after="0" w:line="360" w:lineRule="auto"/>
        <w:ind w:firstLineChars="200" w:firstLine="640"/>
        <w:jc w:val="both"/>
        <w:rPr>
          <w:rFonts w:ascii="仿宋" w:eastAsia="仿宋" w:hAnsi="仿宋"/>
          <w:sz w:val="32"/>
          <w:szCs w:val="32"/>
        </w:rPr>
      </w:pPr>
      <w:r w:rsidRPr="00DB0FB7">
        <w:rPr>
          <w:rFonts w:ascii="仿宋" w:eastAsia="仿宋" w:hAnsi="仿宋" w:hint="eastAsia"/>
          <w:sz w:val="32"/>
          <w:szCs w:val="32"/>
        </w:rPr>
        <w:t>另外我院受理诉前调解案件64件，司法辅助案件5件。</w:t>
      </w:r>
    </w:p>
    <w:p w:rsidR="00E43503" w:rsidRDefault="00694C68" w:rsidP="00E43503">
      <w:pPr>
        <w:spacing w:after="0" w:line="360" w:lineRule="auto"/>
        <w:ind w:firstLineChars="200" w:firstLine="640"/>
        <w:rPr>
          <w:rFonts w:ascii="仿宋" w:eastAsia="仿宋" w:hAnsi="仿宋"/>
          <w:sz w:val="32"/>
          <w:szCs w:val="32"/>
        </w:rPr>
      </w:pPr>
      <w:r w:rsidRPr="00B806ED">
        <w:rPr>
          <w:rFonts w:ascii="仿宋" w:eastAsia="仿宋" w:hAnsi="仿宋" w:hint="eastAsia"/>
          <w:sz w:val="32"/>
          <w:szCs w:val="32"/>
        </w:rPr>
        <w:t>2022年上半年</w:t>
      </w:r>
      <w:r w:rsidR="00AE6944" w:rsidRPr="00B806ED">
        <w:rPr>
          <w:rFonts w:ascii="仿宋" w:eastAsia="仿宋" w:hAnsi="仿宋" w:hint="eastAsia"/>
          <w:sz w:val="32"/>
          <w:szCs w:val="32"/>
        </w:rPr>
        <w:t>新收</w:t>
      </w:r>
      <w:r w:rsidR="008F22BA" w:rsidRPr="00B806ED">
        <w:rPr>
          <w:rFonts w:ascii="仿宋" w:eastAsia="仿宋" w:hAnsi="仿宋" w:hint="eastAsia"/>
          <w:sz w:val="32"/>
          <w:szCs w:val="32"/>
        </w:rPr>
        <w:t>案件数与去年同期相比</w:t>
      </w:r>
      <w:r w:rsidR="00FF074A" w:rsidRPr="00B806ED">
        <w:rPr>
          <w:rFonts w:ascii="仿宋" w:eastAsia="仿宋" w:hAnsi="仿宋" w:hint="eastAsia"/>
          <w:sz w:val="32"/>
          <w:szCs w:val="32"/>
        </w:rPr>
        <w:t>减少</w:t>
      </w:r>
      <w:r w:rsidR="008F22BA" w:rsidRPr="00B806ED">
        <w:rPr>
          <w:rFonts w:ascii="仿宋" w:eastAsia="仿宋" w:hAnsi="仿宋" w:hint="eastAsia"/>
          <w:sz w:val="32"/>
          <w:szCs w:val="32"/>
        </w:rPr>
        <w:t>28</w:t>
      </w:r>
      <w:r w:rsidR="00962D16" w:rsidRPr="00B806ED">
        <w:rPr>
          <w:rFonts w:ascii="仿宋" w:eastAsia="仿宋" w:hAnsi="仿宋" w:hint="eastAsia"/>
          <w:sz w:val="32"/>
          <w:szCs w:val="32"/>
        </w:rPr>
        <w:t>件，同比</w:t>
      </w:r>
      <w:r w:rsidR="00FF074A" w:rsidRPr="00B806ED">
        <w:rPr>
          <w:rFonts w:ascii="仿宋" w:eastAsia="仿宋" w:hAnsi="仿宋" w:hint="eastAsia"/>
          <w:sz w:val="32"/>
          <w:szCs w:val="32"/>
        </w:rPr>
        <w:t>下降</w:t>
      </w:r>
      <w:r w:rsidR="008F22BA" w:rsidRPr="00B806ED">
        <w:rPr>
          <w:rFonts w:ascii="仿宋" w:eastAsia="仿宋" w:hAnsi="仿宋" w:hint="eastAsia"/>
          <w:sz w:val="32"/>
          <w:szCs w:val="32"/>
        </w:rPr>
        <w:t>30.43</w:t>
      </w:r>
      <w:r w:rsidR="00962D16" w:rsidRPr="00B806ED">
        <w:rPr>
          <w:rFonts w:ascii="仿宋" w:eastAsia="仿宋" w:hAnsi="仿宋" w:hint="eastAsia"/>
          <w:sz w:val="32"/>
          <w:szCs w:val="32"/>
        </w:rPr>
        <w:t>%</w:t>
      </w:r>
      <w:r w:rsidR="00AE6944" w:rsidRPr="00B806ED">
        <w:rPr>
          <w:rFonts w:ascii="仿宋" w:eastAsia="仿宋" w:hAnsi="仿宋" w:hint="eastAsia"/>
          <w:sz w:val="32"/>
          <w:szCs w:val="32"/>
        </w:rPr>
        <w:t xml:space="preserve"> ；结案</w:t>
      </w:r>
      <w:r w:rsidR="00FF074A" w:rsidRPr="00B806ED">
        <w:rPr>
          <w:rFonts w:ascii="仿宋" w:eastAsia="仿宋" w:hAnsi="仿宋" w:hint="eastAsia"/>
          <w:sz w:val="32"/>
          <w:szCs w:val="32"/>
        </w:rPr>
        <w:t>减少</w:t>
      </w:r>
      <w:r w:rsidR="008F22BA" w:rsidRPr="00B806ED">
        <w:rPr>
          <w:rFonts w:ascii="仿宋" w:eastAsia="仿宋" w:hAnsi="仿宋" w:hint="eastAsia"/>
          <w:sz w:val="32"/>
          <w:szCs w:val="32"/>
        </w:rPr>
        <w:t>30</w:t>
      </w:r>
      <w:r w:rsidR="00AE6944" w:rsidRPr="00B806ED">
        <w:rPr>
          <w:rFonts w:ascii="仿宋" w:eastAsia="仿宋" w:hAnsi="仿宋" w:hint="eastAsia"/>
          <w:sz w:val="32"/>
          <w:szCs w:val="32"/>
        </w:rPr>
        <w:t>件，</w:t>
      </w:r>
      <w:r w:rsidR="00962D16" w:rsidRPr="00B806ED">
        <w:rPr>
          <w:rFonts w:ascii="仿宋" w:eastAsia="仿宋" w:hAnsi="仿宋" w:hint="eastAsia"/>
          <w:sz w:val="32"/>
          <w:szCs w:val="32"/>
        </w:rPr>
        <w:t>同比</w:t>
      </w:r>
      <w:r w:rsidR="003A7D82" w:rsidRPr="00B806ED">
        <w:rPr>
          <w:rFonts w:ascii="仿宋" w:eastAsia="仿宋" w:hAnsi="仿宋" w:hint="eastAsia"/>
          <w:sz w:val="32"/>
          <w:szCs w:val="32"/>
        </w:rPr>
        <w:t>下降</w:t>
      </w:r>
      <w:r w:rsidR="008F22BA" w:rsidRPr="00B806ED">
        <w:rPr>
          <w:rFonts w:ascii="仿宋" w:eastAsia="仿宋" w:hAnsi="仿宋" w:hint="eastAsia"/>
          <w:sz w:val="32"/>
          <w:szCs w:val="32"/>
        </w:rPr>
        <w:t>32.97</w:t>
      </w:r>
      <w:r w:rsidR="00AE6944" w:rsidRPr="00B806ED">
        <w:rPr>
          <w:rFonts w:ascii="仿宋" w:eastAsia="仿宋" w:hAnsi="仿宋" w:hint="eastAsia"/>
          <w:sz w:val="32"/>
          <w:szCs w:val="32"/>
        </w:rPr>
        <w:t>%；</w:t>
      </w:r>
      <w:r w:rsidR="00595F71" w:rsidRPr="00B806ED">
        <w:rPr>
          <w:rFonts w:ascii="仿宋" w:eastAsia="仿宋" w:hAnsi="仿宋" w:hint="eastAsia"/>
          <w:sz w:val="32"/>
          <w:szCs w:val="32"/>
        </w:rPr>
        <w:t>未结案件</w:t>
      </w:r>
      <w:r w:rsidR="007F7142" w:rsidRPr="00B806ED">
        <w:rPr>
          <w:rFonts w:ascii="仿宋" w:eastAsia="仿宋" w:hAnsi="仿宋" w:hint="eastAsia"/>
          <w:sz w:val="32"/>
          <w:szCs w:val="32"/>
        </w:rPr>
        <w:t>数</w:t>
      </w:r>
      <w:r w:rsidR="00A73493">
        <w:rPr>
          <w:rFonts w:ascii="仿宋" w:eastAsia="仿宋" w:hAnsi="仿宋" w:hint="eastAsia"/>
          <w:sz w:val="32"/>
          <w:szCs w:val="32"/>
        </w:rPr>
        <w:t>减少1</w:t>
      </w:r>
      <w:r w:rsidR="00B806ED" w:rsidRPr="00B806ED">
        <w:rPr>
          <w:rFonts w:ascii="仿宋" w:eastAsia="仿宋" w:hAnsi="仿宋" w:hint="eastAsia"/>
          <w:sz w:val="32"/>
          <w:szCs w:val="32"/>
        </w:rPr>
        <w:t>件，</w:t>
      </w:r>
      <w:r w:rsidR="00810555" w:rsidRPr="00B806ED">
        <w:rPr>
          <w:rFonts w:ascii="仿宋" w:eastAsia="仿宋" w:hAnsi="仿宋" w:hint="eastAsia"/>
          <w:sz w:val="32"/>
          <w:szCs w:val="32"/>
        </w:rPr>
        <w:t>结案率</w:t>
      </w:r>
      <w:r w:rsidR="00E4583D" w:rsidRPr="00B806ED">
        <w:rPr>
          <w:rFonts w:ascii="仿宋" w:eastAsia="仿宋" w:hAnsi="仿宋" w:hint="eastAsia"/>
          <w:sz w:val="32"/>
          <w:szCs w:val="32"/>
        </w:rPr>
        <w:t>下降</w:t>
      </w:r>
      <w:r w:rsidR="00B806ED" w:rsidRPr="00B806ED">
        <w:rPr>
          <w:rFonts w:ascii="仿宋" w:eastAsia="仿宋" w:hAnsi="仿宋" w:hint="eastAsia"/>
          <w:sz w:val="32"/>
          <w:szCs w:val="32"/>
        </w:rPr>
        <w:t>3.60</w:t>
      </w:r>
      <w:r w:rsidR="00E4583D" w:rsidRPr="00B806ED">
        <w:rPr>
          <w:rFonts w:ascii="仿宋" w:eastAsia="仿宋" w:hAnsi="仿宋" w:hint="eastAsia"/>
          <w:sz w:val="32"/>
          <w:szCs w:val="32"/>
        </w:rPr>
        <w:t>个</w:t>
      </w:r>
      <w:r w:rsidR="00810555" w:rsidRPr="00B806ED">
        <w:rPr>
          <w:rFonts w:ascii="仿宋" w:eastAsia="仿宋" w:hAnsi="仿宋" w:hint="eastAsia"/>
          <w:sz w:val="32"/>
          <w:szCs w:val="32"/>
        </w:rPr>
        <w:t xml:space="preserve">百分点。 </w:t>
      </w:r>
    </w:p>
    <w:p w:rsidR="00210006" w:rsidRPr="00210006" w:rsidRDefault="00AE6944" w:rsidP="009D5D42">
      <w:pPr>
        <w:spacing w:after="0" w:line="360" w:lineRule="auto"/>
        <w:ind w:firstLineChars="200" w:firstLine="723"/>
        <w:jc w:val="center"/>
        <w:rPr>
          <w:rFonts w:ascii="仿宋" w:eastAsia="仿宋" w:hAnsi="仿宋"/>
          <w:sz w:val="32"/>
          <w:szCs w:val="32"/>
        </w:rPr>
      </w:pPr>
      <w:r>
        <w:rPr>
          <w:rFonts w:asciiTheme="minorEastAsia" w:eastAsiaTheme="minorEastAsia" w:hAnsiTheme="minorEastAsia" w:hint="eastAsia"/>
          <w:b/>
          <w:noProof/>
          <w:sz w:val="36"/>
          <w:szCs w:val="36"/>
        </w:rPr>
        <w:lastRenderedPageBreak/>
        <w:drawing>
          <wp:inline distT="0" distB="0" distL="0" distR="0">
            <wp:extent cx="5734050" cy="3467100"/>
            <wp:effectExtent l="19050" t="0" r="19050"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F22F7" w:rsidRPr="0045554F" w:rsidRDefault="0045554F" w:rsidP="00B806ED">
      <w:pPr>
        <w:spacing w:after="0" w:line="360" w:lineRule="auto"/>
        <w:ind w:firstLineChars="200" w:firstLine="643"/>
        <w:jc w:val="both"/>
        <w:rPr>
          <w:rFonts w:asciiTheme="majorEastAsia" w:eastAsiaTheme="majorEastAsia" w:hAnsiTheme="majorEastAsia"/>
          <w:b/>
          <w:sz w:val="32"/>
          <w:szCs w:val="32"/>
        </w:rPr>
      </w:pPr>
      <w:r w:rsidRPr="0045554F">
        <w:rPr>
          <w:rFonts w:asciiTheme="majorEastAsia" w:eastAsiaTheme="majorEastAsia" w:hAnsiTheme="majorEastAsia" w:hint="eastAsia"/>
          <w:b/>
          <w:sz w:val="32"/>
          <w:szCs w:val="32"/>
        </w:rPr>
        <w:t>（二</w:t>
      </w:r>
      <w:r w:rsidR="00AE6944" w:rsidRPr="0045554F">
        <w:rPr>
          <w:rFonts w:asciiTheme="majorEastAsia" w:eastAsiaTheme="majorEastAsia" w:hAnsiTheme="majorEastAsia" w:hint="eastAsia"/>
          <w:b/>
          <w:sz w:val="32"/>
          <w:szCs w:val="32"/>
        </w:rPr>
        <w:t>）</w:t>
      </w:r>
      <w:r w:rsidR="00694C68">
        <w:rPr>
          <w:rFonts w:asciiTheme="majorEastAsia" w:eastAsiaTheme="majorEastAsia" w:hAnsiTheme="majorEastAsia" w:hint="eastAsia"/>
          <w:b/>
          <w:sz w:val="32"/>
          <w:szCs w:val="32"/>
        </w:rPr>
        <w:t>2022年上半年</w:t>
      </w:r>
      <w:r w:rsidR="00AE6944" w:rsidRPr="0045554F">
        <w:rPr>
          <w:rFonts w:asciiTheme="majorEastAsia" w:eastAsiaTheme="majorEastAsia" w:hAnsiTheme="majorEastAsia" w:hint="eastAsia"/>
          <w:b/>
          <w:sz w:val="32"/>
          <w:szCs w:val="32"/>
        </w:rPr>
        <w:t>诉讼案件总体情况</w:t>
      </w:r>
    </w:p>
    <w:p w:rsidR="006F22F7" w:rsidRPr="00B806ED" w:rsidRDefault="00694C68" w:rsidP="00B03921">
      <w:pPr>
        <w:spacing w:after="0" w:line="360" w:lineRule="auto"/>
        <w:ind w:firstLineChars="200" w:firstLine="640"/>
        <w:jc w:val="both"/>
        <w:rPr>
          <w:rFonts w:ascii="仿宋" w:eastAsia="仿宋" w:hAnsi="仿宋"/>
          <w:sz w:val="32"/>
          <w:szCs w:val="32"/>
        </w:rPr>
      </w:pPr>
      <w:r>
        <w:rPr>
          <w:rFonts w:ascii="仿宋" w:eastAsia="仿宋" w:hAnsi="仿宋" w:hint="eastAsia"/>
          <w:sz w:val="32"/>
          <w:szCs w:val="32"/>
        </w:rPr>
        <w:t>2022年上半年</w:t>
      </w:r>
      <w:r w:rsidR="00AE6944" w:rsidRPr="002E60CA">
        <w:rPr>
          <w:rFonts w:ascii="仿宋" w:eastAsia="仿宋" w:hAnsi="仿宋" w:hint="eastAsia"/>
          <w:sz w:val="32"/>
          <w:szCs w:val="32"/>
        </w:rPr>
        <w:t>本院共受理诉讼案件</w:t>
      </w:r>
      <w:r w:rsidR="00B806ED">
        <w:rPr>
          <w:rFonts w:ascii="仿宋" w:eastAsia="仿宋" w:hAnsi="仿宋" w:hint="eastAsia"/>
          <w:sz w:val="32"/>
          <w:szCs w:val="32"/>
        </w:rPr>
        <w:t>19</w:t>
      </w:r>
      <w:r w:rsidR="00AE6944" w:rsidRPr="002E60CA">
        <w:rPr>
          <w:rFonts w:ascii="仿宋" w:eastAsia="仿宋" w:hAnsi="仿宋" w:hint="eastAsia"/>
          <w:sz w:val="32"/>
          <w:szCs w:val="32"/>
        </w:rPr>
        <w:t>件，结案</w:t>
      </w:r>
      <w:r w:rsidR="00B806ED">
        <w:rPr>
          <w:rFonts w:ascii="仿宋" w:eastAsia="仿宋" w:hAnsi="仿宋" w:hint="eastAsia"/>
          <w:sz w:val="32"/>
          <w:szCs w:val="32"/>
        </w:rPr>
        <w:t>19</w:t>
      </w:r>
      <w:r w:rsidR="00AE6944" w:rsidRPr="002E60CA">
        <w:rPr>
          <w:rFonts w:ascii="仿宋" w:eastAsia="仿宋" w:hAnsi="仿宋" w:hint="eastAsia"/>
          <w:sz w:val="32"/>
          <w:szCs w:val="32"/>
        </w:rPr>
        <w:t>件，</w:t>
      </w:r>
      <w:r w:rsidR="00AE6944" w:rsidRPr="00B806ED">
        <w:rPr>
          <w:rFonts w:ascii="仿宋" w:eastAsia="仿宋" w:hAnsi="仿宋" w:hint="eastAsia"/>
          <w:sz w:val="32"/>
          <w:szCs w:val="32"/>
        </w:rPr>
        <w:t>结案率</w:t>
      </w:r>
      <w:r w:rsidR="00E4583D" w:rsidRPr="00B806ED">
        <w:rPr>
          <w:rFonts w:ascii="仿宋" w:eastAsia="仿宋" w:hAnsi="仿宋" w:hint="eastAsia"/>
          <w:sz w:val="32"/>
          <w:szCs w:val="32"/>
        </w:rPr>
        <w:t>100</w:t>
      </w:r>
      <w:r w:rsidR="00AE6944" w:rsidRPr="00B806ED">
        <w:rPr>
          <w:rFonts w:ascii="仿宋" w:eastAsia="仿宋" w:hAnsi="仿宋" w:hint="eastAsia"/>
          <w:sz w:val="32"/>
          <w:szCs w:val="32"/>
        </w:rPr>
        <w:t>%。</w:t>
      </w:r>
    </w:p>
    <w:p w:rsidR="00B914F3" w:rsidRPr="00B806ED" w:rsidRDefault="00694C68" w:rsidP="00B03921">
      <w:pPr>
        <w:spacing w:after="0" w:line="360" w:lineRule="auto"/>
        <w:ind w:firstLineChars="200" w:firstLine="640"/>
        <w:jc w:val="both"/>
        <w:rPr>
          <w:rFonts w:ascii="仿宋" w:eastAsia="仿宋" w:hAnsi="仿宋"/>
          <w:sz w:val="32"/>
          <w:szCs w:val="32"/>
        </w:rPr>
      </w:pPr>
      <w:r w:rsidRPr="00B806ED">
        <w:rPr>
          <w:rFonts w:ascii="仿宋" w:eastAsia="仿宋" w:hAnsi="仿宋" w:hint="eastAsia"/>
          <w:sz w:val="32"/>
          <w:szCs w:val="32"/>
        </w:rPr>
        <w:t>2022年上半年</w:t>
      </w:r>
      <w:r w:rsidR="00AE6944" w:rsidRPr="00B806ED">
        <w:rPr>
          <w:rFonts w:ascii="仿宋" w:eastAsia="仿宋" w:hAnsi="仿宋" w:hint="eastAsia"/>
          <w:sz w:val="32"/>
          <w:szCs w:val="32"/>
        </w:rPr>
        <w:t>诉讼类案件新收</w:t>
      </w:r>
      <w:r w:rsidR="003A7D82" w:rsidRPr="00B806ED">
        <w:rPr>
          <w:rFonts w:ascii="仿宋" w:eastAsia="仿宋" w:hAnsi="仿宋" w:hint="eastAsia"/>
          <w:sz w:val="32"/>
          <w:szCs w:val="32"/>
        </w:rPr>
        <w:t>减少</w:t>
      </w:r>
      <w:r w:rsidR="00B806ED" w:rsidRPr="00B806ED">
        <w:rPr>
          <w:rFonts w:ascii="仿宋" w:eastAsia="仿宋" w:hAnsi="仿宋" w:hint="eastAsia"/>
          <w:sz w:val="32"/>
          <w:szCs w:val="32"/>
        </w:rPr>
        <w:t>14</w:t>
      </w:r>
      <w:r w:rsidR="00AE6944" w:rsidRPr="00B806ED">
        <w:rPr>
          <w:rFonts w:ascii="仿宋" w:eastAsia="仿宋" w:hAnsi="仿宋" w:hint="eastAsia"/>
          <w:sz w:val="32"/>
          <w:szCs w:val="32"/>
        </w:rPr>
        <w:t>件，</w:t>
      </w:r>
      <w:r w:rsidR="00595F71" w:rsidRPr="00B806ED">
        <w:rPr>
          <w:rFonts w:ascii="仿宋" w:eastAsia="仿宋" w:hAnsi="仿宋" w:hint="eastAsia"/>
          <w:sz w:val="32"/>
          <w:szCs w:val="32"/>
        </w:rPr>
        <w:t>同比</w:t>
      </w:r>
      <w:r w:rsidR="003A7D82" w:rsidRPr="00B806ED">
        <w:rPr>
          <w:rFonts w:ascii="仿宋" w:eastAsia="仿宋" w:hAnsi="仿宋" w:hint="eastAsia"/>
          <w:sz w:val="32"/>
          <w:szCs w:val="32"/>
        </w:rPr>
        <w:t>下降</w:t>
      </w:r>
      <w:r w:rsidR="00B806ED" w:rsidRPr="00B806ED">
        <w:rPr>
          <w:rFonts w:ascii="仿宋" w:eastAsia="仿宋" w:hAnsi="仿宋" w:hint="eastAsia"/>
          <w:sz w:val="32"/>
          <w:szCs w:val="32"/>
        </w:rPr>
        <w:t>42.42</w:t>
      </w:r>
      <w:r w:rsidR="00AE6944" w:rsidRPr="00B806ED">
        <w:rPr>
          <w:rFonts w:ascii="仿宋" w:eastAsia="仿宋" w:hAnsi="仿宋" w:hint="eastAsia"/>
          <w:sz w:val="32"/>
          <w:szCs w:val="32"/>
        </w:rPr>
        <w:t>%；</w:t>
      </w:r>
      <w:r w:rsidR="00B914F3" w:rsidRPr="00B806ED">
        <w:rPr>
          <w:rFonts w:ascii="仿宋" w:eastAsia="仿宋" w:hAnsi="仿宋" w:hint="eastAsia"/>
          <w:sz w:val="32"/>
          <w:szCs w:val="32"/>
        </w:rPr>
        <w:t>结案</w:t>
      </w:r>
      <w:r w:rsidR="00B97C70" w:rsidRPr="00B806ED">
        <w:rPr>
          <w:rFonts w:ascii="仿宋" w:eastAsia="仿宋" w:hAnsi="仿宋" w:hint="eastAsia"/>
          <w:sz w:val="32"/>
          <w:szCs w:val="32"/>
        </w:rPr>
        <w:t>减少</w:t>
      </w:r>
      <w:r w:rsidR="00B806ED" w:rsidRPr="00B806ED">
        <w:rPr>
          <w:rFonts w:ascii="仿宋" w:eastAsia="仿宋" w:hAnsi="仿宋" w:hint="eastAsia"/>
          <w:sz w:val="32"/>
          <w:szCs w:val="32"/>
        </w:rPr>
        <w:t>13</w:t>
      </w:r>
      <w:r w:rsidR="00B914F3" w:rsidRPr="00B806ED">
        <w:rPr>
          <w:rFonts w:ascii="仿宋" w:eastAsia="仿宋" w:hAnsi="仿宋" w:hint="eastAsia"/>
          <w:sz w:val="32"/>
          <w:szCs w:val="32"/>
        </w:rPr>
        <w:t>件，</w:t>
      </w:r>
      <w:r w:rsidR="00595F71" w:rsidRPr="00B806ED">
        <w:rPr>
          <w:rFonts w:ascii="仿宋" w:eastAsia="仿宋" w:hAnsi="仿宋" w:hint="eastAsia"/>
          <w:sz w:val="32"/>
          <w:szCs w:val="32"/>
        </w:rPr>
        <w:t>同比</w:t>
      </w:r>
      <w:r w:rsidR="00B97C70" w:rsidRPr="00B806ED">
        <w:rPr>
          <w:rFonts w:ascii="仿宋" w:eastAsia="仿宋" w:hAnsi="仿宋" w:hint="eastAsia"/>
          <w:sz w:val="32"/>
          <w:szCs w:val="32"/>
        </w:rPr>
        <w:t>下降</w:t>
      </w:r>
      <w:r w:rsidR="00B806ED" w:rsidRPr="00B806ED">
        <w:rPr>
          <w:rFonts w:ascii="仿宋" w:eastAsia="仿宋" w:hAnsi="仿宋" w:hint="eastAsia"/>
          <w:sz w:val="32"/>
          <w:szCs w:val="32"/>
        </w:rPr>
        <w:t>40.63</w:t>
      </w:r>
      <w:r w:rsidR="00B914F3" w:rsidRPr="00B806ED">
        <w:rPr>
          <w:rFonts w:ascii="仿宋" w:eastAsia="仿宋" w:hAnsi="仿宋" w:hint="eastAsia"/>
          <w:sz w:val="32"/>
          <w:szCs w:val="32"/>
        </w:rPr>
        <w:t>% ；未结案件</w:t>
      </w:r>
      <w:r w:rsidR="00A73493">
        <w:rPr>
          <w:rFonts w:ascii="仿宋" w:eastAsia="仿宋" w:hAnsi="仿宋" w:hint="eastAsia"/>
          <w:sz w:val="32"/>
          <w:szCs w:val="32"/>
        </w:rPr>
        <w:t>减少1</w:t>
      </w:r>
      <w:r w:rsidR="00B914F3" w:rsidRPr="00B806ED">
        <w:rPr>
          <w:rFonts w:ascii="仿宋" w:eastAsia="仿宋" w:hAnsi="仿宋" w:hint="eastAsia"/>
          <w:sz w:val="32"/>
          <w:szCs w:val="32"/>
        </w:rPr>
        <w:t>件，</w:t>
      </w:r>
      <w:r w:rsidR="00733313" w:rsidRPr="00B806ED">
        <w:rPr>
          <w:rFonts w:ascii="仿宋" w:eastAsia="仿宋" w:hAnsi="仿宋" w:hint="eastAsia"/>
          <w:sz w:val="32"/>
          <w:szCs w:val="32"/>
        </w:rPr>
        <w:t>结案率</w:t>
      </w:r>
      <w:r w:rsidR="00C9507E" w:rsidRPr="00B806ED">
        <w:rPr>
          <w:rFonts w:ascii="仿宋" w:eastAsia="仿宋" w:hAnsi="仿宋" w:hint="eastAsia"/>
          <w:sz w:val="32"/>
          <w:szCs w:val="32"/>
        </w:rPr>
        <w:t>同比</w:t>
      </w:r>
      <w:r w:rsidR="00733313" w:rsidRPr="00B806ED">
        <w:rPr>
          <w:rFonts w:ascii="仿宋" w:eastAsia="仿宋" w:hAnsi="仿宋" w:hint="eastAsia"/>
          <w:sz w:val="32"/>
          <w:szCs w:val="32"/>
        </w:rPr>
        <w:t>上升</w:t>
      </w:r>
      <w:r w:rsidR="00B806ED" w:rsidRPr="00B806ED">
        <w:rPr>
          <w:rFonts w:ascii="仿宋" w:eastAsia="仿宋" w:hAnsi="仿宋" w:hint="eastAsia"/>
          <w:sz w:val="32"/>
          <w:szCs w:val="32"/>
        </w:rPr>
        <w:t>3.03</w:t>
      </w:r>
      <w:r w:rsidR="00EB4770" w:rsidRPr="00B806ED">
        <w:rPr>
          <w:rFonts w:ascii="仿宋" w:eastAsia="仿宋" w:hAnsi="仿宋" w:hint="eastAsia"/>
          <w:sz w:val="32"/>
          <w:szCs w:val="32"/>
        </w:rPr>
        <w:t>个</w:t>
      </w:r>
      <w:r w:rsidR="00733313" w:rsidRPr="00B806ED">
        <w:rPr>
          <w:rFonts w:ascii="仿宋" w:eastAsia="仿宋" w:hAnsi="仿宋" w:hint="eastAsia"/>
          <w:sz w:val="32"/>
          <w:szCs w:val="32"/>
        </w:rPr>
        <w:t>百分点</w:t>
      </w:r>
      <w:r w:rsidR="00595F71" w:rsidRPr="00B806ED">
        <w:rPr>
          <w:rFonts w:ascii="仿宋" w:eastAsia="仿宋" w:hAnsi="仿宋" w:hint="eastAsia"/>
          <w:sz w:val="32"/>
          <w:szCs w:val="32"/>
        </w:rPr>
        <w:t>（见下图）</w:t>
      </w:r>
      <w:r w:rsidR="00B914F3" w:rsidRPr="00B806ED">
        <w:rPr>
          <w:rFonts w:ascii="仿宋" w:eastAsia="仿宋" w:hAnsi="仿宋" w:hint="eastAsia"/>
          <w:sz w:val="32"/>
          <w:szCs w:val="32"/>
        </w:rPr>
        <w:t>。</w:t>
      </w:r>
    </w:p>
    <w:p w:rsidR="006F22F7" w:rsidRPr="007509A1" w:rsidRDefault="00A4356A" w:rsidP="007509A1">
      <w:pPr>
        <w:spacing w:after="0" w:line="360" w:lineRule="auto"/>
        <w:ind w:firstLineChars="200" w:firstLine="723"/>
        <w:jc w:val="both"/>
        <w:rPr>
          <w:rFonts w:ascii="仿宋" w:eastAsia="仿宋" w:hAnsi="仿宋"/>
          <w:sz w:val="32"/>
          <w:szCs w:val="32"/>
        </w:rPr>
      </w:pPr>
      <w:r>
        <w:rPr>
          <w:rFonts w:asciiTheme="minorEastAsia" w:eastAsiaTheme="minorEastAsia" w:hAnsiTheme="minorEastAsia"/>
          <w:b/>
          <w:noProof/>
          <w:sz w:val="36"/>
          <w:szCs w:val="36"/>
        </w:rPr>
        <w:drawing>
          <wp:inline distT="0" distB="0" distL="0" distR="0">
            <wp:extent cx="5374005" cy="2619375"/>
            <wp:effectExtent l="19050" t="0" r="17145" b="0"/>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B914F3">
        <w:rPr>
          <w:rFonts w:ascii="仿宋" w:eastAsia="仿宋" w:hAnsi="仿宋"/>
          <w:sz w:val="32"/>
          <w:szCs w:val="32"/>
        </w:rPr>
        <w:t xml:space="preserve"> </w:t>
      </w:r>
    </w:p>
    <w:p w:rsidR="00E147D2" w:rsidRPr="003303E3" w:rsidRDefault="00B806ED" w:rsidP="00BF24C6">
      <w:pPr>
        <w:tabs>
          <w:tab w:val="left" w:pos="3617"/>
        </w:tabs>
        <w:spacing w:after="0" w:line="360" w:lineRule="auto"/>
        <w:ind w:firstLineChars="200" w:firstLine="640"/>
        <w:jc w:val="both"/>
        <w:rPr>
          <w:rFonts w:ascii="仿宋" w:eastAsia="仿宋" w:hAnsi="仿宋"/>
          <w:sz w:val="32"/>
          <w:szCs w:val="32"/>
        </w:rPr>
      </w:pPr>
      <w:r>
        <w:rPr>
          <w:rFonts w:ascii="仿宋" w:eastAsia="仿宋" w:hAnsi="仿宋" w:hint="eastAsia"/>
          <w:sz w:val="32"/>
          <w:szCs w:val="32"/>
        </w:rPr>
        <w:lastRenderedPageBreak/>
        <w:t>19件诉讼案件</w:t>
      </w:r>
      <w:r w:rsidR="00AE6944" w:rsidRPr="002E60CA">
        <w:rPr>
          <w:rFonts w:ascii="仿宋" w:eastAsia="仿宋" w:hAnsi="仿宋" w:hint="eastAsia"/>
          <w:sz w:val="32"/>
          <w:szCs w:val="32"/>
        </w:rPr>
        <w:t>中，</w:t>
      </w:r>
      <w:r w:rsidR="00AE6944" w:rsidRPr="002E60CA">
        <w:rPr>
          <w:rFonts w:ascii="仿宋" w:eastAsia="仿宋" w:hAnsi="仿宋" w:hint="eastAsia"/>
          <w:color w:val="000000" w:themeColor="text1"/>
          <w:sz w:val="32"/>
          <w:szCs w:val="32"/>
        </w:rPr>
        <w:t>刑事</w:t>
      </w:r>
      <w:r>
        <w:rPr>
          <w:rFonts w:ascii="仿宋" w:eastAsia="仿宋" w:hAnsi="仿宋" w:hint="eastAsia"/>
          <w:sz w:val="32"/>
          <w:szCs w:val="32"/>
        </w:rPr>
        <w:t>5</w:t>
      </w:r>
      <w:r w:rsidR="00AE6944" w:rsidRPr="002E60CA">
        <w:rPr>
          <w:rFonts w:ascii="仿宋" w:eastAsia="仿宋" w:hAnsi="仿宋" w:hint="eastAsia"/>
          <w:color w:val="000000" w:themeColor="text1"/>
          <w:sz w:val="32"/>
          <w:szCs w:val="32"/>
        </w:rPr>
        <w:t>件</w:t>
      </w:r>
      <w:r w:rsidR="007509A1">
        <w:rPr>
          <w:rFonts w:ascii="仿宋" w:eastAsia="仿宋" w:hAnsi="仿宋" w:hint="eastAsia"/>
          <w:color w:val="000000" w:themeColor="text1"/>
          <w:sz w:val="32"/>
          <w:szCs w:val="32"/>
        </w:rPr>
        <w:t>，</w:t>
      </w:r>
      <w:r w:rsidR="00AE6944" w:rsidRPr="003303E3">
        <w:rPr>
          <w:rFonts w:ascii="仿宋" w:eastAsia="仿宋" w:hAnsi="仿宋" w:hint="eastAsia"/>
          <w:sz w:val="32"/>
          <w:szCs w:val="32"/>
        </w:rPr>
        <w:t>占比</w:t>
      </w:r>
      <w:r w:rsidR="00783262" w:rsidRPr="003303E3">
        <w:rPr>
          <w:rFonts w:ascii="仿宋" w:eastAsia="仿宋" w:hAnsi="仿宋" w:hint="eastAsia"/>
          <w:sz w:val="32"/>
          <w:szCs w:val="32"/>
        </w:rPr>
        <w:t>26.32</w:t>
      </w:r>
      <w:r w:rsidR="00AE6944" w:rsidRPr="003303E3">
        <w:rPr>
          <w:rFonts w:ascii="仿宋" w:eastAsia="仿宋" w:hAnsi="仿宋" w:hint="eastAsia"/>
          <w:sz w:val="32"/>
          <w:szCs w:val="32"/>
        </w:rPr>
        <w:t>% ；民事</w:t>
      </w:r>
      <w:r w:rsidR="00783262" w:rsidRPr="003303E3">
        <w:rPr>
          <w:rFonts w:ascii="仿宋" w:eastAsia="仿宋" w:hAnsi="仿宋" w:hint="eastAsia"/>
          <w:sz w:val="32"/>
          <w:szCs w:val="32"/>
        </w:rPr>
        <w:t>13</w:t>
      </w:r>
      <w:r w:rsidR="00AE6944" w:rsidRPr="003303E3">
        <w:rPr>
          <w:rFonts w:ascii="仿宋" w:eastAsia="仿宋" w:hAnsi="仿宋" w:hint="eastAsia"/>
          <w:sz w:val="32"/>
          <w:szCs w:val="32"/>
        </w:rPr>
        <w:t>件，</w:t>
      </w:r>
      <w:r w:rsidR="00F04402" w:rsidRPr="003303E3">
        <w:rPr>
          <w:rFonts w:ascii="仿宋" w:eastAsia="仿宋" w:hAnsi="仿宋" w:hint="eastAsia"/>
          <w:sz w:val="32"/>
          <w:szCs w:val="32"/>
        </w:rPr>
        <w:t>占比</w:t>
      </w:r>
      <w:r w:rsidR="00783262" w:rsidRPr="003303E3">
        <w:rPr>
          <w:rFonts w:ascii="仿宋" w:eastAsia="仿宋" w:hAnsi="仿宋" w:hint="eastAsia"/>
          <w:sz w:val="32"/>
          <w:szCs w:val="32"/>
        </w:rPr>
        <w:t>68.42</w:t>
      </w:r>
      <w:r w:rsidR="00F04402" w:rsidRPr="003303E3">
        <w:rPr>
          <w:rFonts w:ascii="仿宋" w:eastAsia="仿宋" w:hAnsi="仿宋" w:hint="eastAsia"/>
          <w:sz w:val="32"/>
          <w:szCs w:val="32"/>
        </w:rPr>
        <w:t>%</w:t>
      </w:r>
      <w:r w:rsidR="00845E04" w:rsidRPr="003303E3">
        <w:rPr>
          <w:rFonts w:ascii="仿宋" w:eastAsia="仿宋" w:hAnsi="仿宋" w:hint="eastAsia"/>
          <w:sz w:val="32"/>
          <w:szCs w:val="32"/>
        </w:rPr>
        <w:t>。</w:t>
      </w:r>
    </w:p>
    <w:p w:rsidR="006F22F7" w:rsidRPr="003303E3" w:rsidRDefault="00AE6944" w:rsidP="0045554F">
      <w:pPr>
        <w:tabs>
          <w:tab w:val="left" w:pos="3617"/>
        </w:tabs>
        <w:spacing w:after="0" w:line="360" w:lineRule="auto"/>
        <w:ind w:firstLineChars="200" w:firstLine="643"/>
        <w:jc w:val="both"/>
        <w:rPr>
          <w:rFonts w:asciiTheme="majorEastAsia" w:eastAsiaTheme="majorEastAsia" w:hAnsiTheme="majorEastAsia"/>
          <w:b/>
          <w:sz w:val="32"/>
          <w:szCs w:val="32"/>
        </w:rPr>
      </w:pPr>
      <w:r w:rsidRPr="003303E3">
        <w:rPr>
          <w:rFonts w:asciiTheme="majorEastAsia" w:eastAsiaTheme="majorEastAsia" w:hAnsiTheme="majorEastAsia" w:hint="eastAsia"/>
          <w:b/>
          <w:sz w:val="32"/>
          <w:szCs w:val="32"/>
        </w:rPr>
        <w:t>（</w:t>
      </w:r>
      <w:r w:rsidR="0045554F" w:rsidRPr="003303E3">
        <w:rPr>
          <w:rFonts w:asciiTheme="majorEastAsia" w:eastAsiaTheme="majorEastAsia" w:hAnsiTheme="majorEastAsia" w:hint="eastAsia"/>
          <w:b/>
          <w:sz w:val="32"/>
          <w:szCs w:val="32"/>
        </w:rPr>
        <w:t>三</w:t>
      </w:r>
      <w:r w:rsidRPr="003303E3">
        <w:rPr>
          <w:rFonts w:asciiTheme="majorEastAsia" w:eastAsiaTheme="majorEastAsia" w:hAnsiTheme="majorEastAsia" w:hint="eastAsia"/>
          <w:b/>
          <w:sz w:val="32"/>
          <w:szCs w:val="32"/>
        </w:rPr>
        <w:t>）</w:t>
      </w:r>
      <w:r w:rsidR="00694C68" w:rsidRPr="003303E3">
        <w:rPr>
          <w:rFonts w:asciiTheme="majorEastAsia" w:eastAsiaTheme="majorEastAsia" w:hAnsiTheme="majorEastAsia" w:hint="eastAsia"/>
          <w:b/>
          <w:sz w:val="32"/>
          <w:szCs w:val="32"/>
        </w:rPr>
        <w:t>2022年上半年</w:t>
      </w:r>
      <w:r w:rsidRPr="003303E3">
        <w:rPr>
          <w:rFonts w:asciiTheme="majorEastAsia" w:eastAsiaTheme="majorEastAsia" w:hAnsiTheme="majorEastAsia" w:hint="eastAsia"/>
          <w:b/>
          <w:sz w:val="32"/>
          <w:szCs w:val="32"/>
        </w:rPr>
        <w:t>执行案件总体情况</w:t>
      </w:r>
    </w:p>
    <w:p w:rsidR="00607152" w:rsidRPr="00E51FD3" w:rsidRDefault="00694C68" w:rsidP="00607152">
      <w:pPr>
        <w:spacing w:after="0" w:line="360" w:lineRule="auto"/>
        <w:ind w:firstLineChars="200" w:firstLine="640"/>
        <w:jc w:val="both"/>
        <w:rPr>
          <w:rFonts w:ascii="仿宋" w:eastAsia="仿宋" w:hAnsi="仿宋"/>
          <w:color w:val="000000" w:themeColor="text1"/>
          <w:sz w:val="32"/>
          <w:szCs w:val="32"/>
        </w:rPr>
      </w:pPr>
      <w:r w:rsidRPr="003303E3">
        <w:rPr>
          <w:rFonts w:ascii="仿宋" w:eastAsia="仿宋" w:hAnsi="仿宋" w:hint="eastAsia"/>
          <w:sz w:val="32"/>
          <w:szCs w:val="32"/>
        </w:rPr>
        <w:t>2022年上半年</w:t>
      </w:r>
      <w:r w:rsidR="00607152" w:rsidRPr="003303E3">
        <w:rPr>
          <w:rFonts w:ascii="仿宋" w:eastAsia="仿宋" w:hAnsi="仿宋" w:hint="eastAsia"/>
          <w:sz w:val="32"/>
          <w:szCs w:val="32"/>
        </w:rPr>
        <w:t>共收案</w:t>
      </w:r>
      <w:r w:rsidR="00783262" w:rsidRPr="003303E3">
        <w:rPr>
          <w:rFonts w:ascii="仿宋" w:eastAsia="仿宋" w:hAnsi="仿宋" w:hint="eastAsia"/>
          <w:sz w:val="32"/>
          <w:szCs w:val="32"/>
        </w:rPr>
        <w:t>45</w:t>
      </w:r>
      <w:r w:rsidR="00607152" w:rsidRPr="003303E3">
        <w:rPr>
          <w:rFonts w:ascii="仿宋" w:eastAsia="仿宋" w:hAnsi="仿宋" w:hint="eastAsia"/>
          <w:sz w:val="32"/>
          <w:szCs w:val="32"/>
        </w:rPr>
        <w:t>件，旧存</w:t>
      </w:r>
      <w:r w:rsidR="002C67D5" w:rsidRPr="003303E3">
        <w:rPr>
          <w:rFonts w:ascii="仿宋" w:eastAsia="仿宋" w:hAnsi="仿宋" w:hint="eastAsia"/>
          <w:sz w:val="32"/>
          <w:szCs w:val="32"/>
        </w:rPr>
        <w:t>0</w:t>
      </w:r>
      <w:r w:rsidR="00607152" w:rsidRPr="003303E3">
        <w:rPr>
          <w:rFonts w:ascii="仿宋" w:eastAsia="仿宋" w:hAnsi="仿宋" w:hint="eastAsia"/>
          <w:sz w:val="32"/>
          <w:szCs w:val="32"/>
        </w:rPr>
        <w:t>件，</w:t>
      </w:r>
      <w:r w:rsidR="00E51FD3" w:rsidRPr="003303E3">
        <w:rPr>
          <w:rFonts w:ascii="仿宋" w:eastAsia="仿宋" w:hAnsi="仿宋" w:hint="eastAsia"/>
          <w:sz w:val="32"/>
          <w:szCs w:val="32"/>
        </w:rPr>
        <w:t>未结</w:t>
      </w:r>
      <w:r w:rsidR="00783262" w:rsidRPr="003303E3">
        <w:rPr>
          <w:rFonts w:ascii="仿宋" w:eastAsia="仿宋" w:hAnsi="仿宋" w:hint="eastAsia"/>
          <w:sz w:val="32"/>
          <w:szCs w:val="32"/>
        </w:rPr>
        <w:t>3</w:t>
      </w:r>
      <w:r w:rsidR="00E51FD3" w:rsidRPr="003303E3">
        <w:rPr>
          <w:rFonts w:ascii="仿宋" w:eastAsia="仿宋" w:hAnsi="仿宋" w:hint="eastAsia"/>
          <w:sz w:val="32"/>
          <w:szCs w:val="32"/>
        </w:rPr>
        <w:t>件，</w:t>
      </w:r>
      <w:r w:rsidR="00607152" w:rsidRPr="003303E3">
        <w:rPr>
          <w:rFonts w:ascii="仿宋" w:eastAsia="仿宋" w:hAnsi="仿宋" w:hint="eastAsia"/>
          <w:sz w:val="32"/>
          <w:szCs w:val="32"/>
        </w:rPr>
        <w:t>结案</w:t>
      </w:r>
      <w:r w:rsidR="00783262" w:rsidRPr="003303E3">
        <w:rPr>
          <w:rFonts w:ascii="仿宋" w:eastAsia="仿宋" w:hAnsi="仿宋" w:hint="eastAsia"/>
          <w:sz w:val="32"/>
          <w:szCs w:val="32"/>
        </w:rPr>
        <w:t>42</w:t>
      </w:r>
      <w:r w:rsidR="00607152" w:rsidRPr="003303E3">
        <w:rPr>
          <w:rFonts w:ascii="仿宋" w:eastAsia="仿宋" w:hAnsi="仿宋" w:hint="eastAsia"/>
          <w:sz w:val="32"/>
          <w:szCs w:val="32"/>
        </w:rPr>
        <w:t>件，</w:t>
      </w:r>
      <w:proofErr w:type="gramStart"/>
      <w:r w:rsidR="00607152" w:rsidRPr="003303E3">
        <w:rPr>
          <w:rFonts w:ascii="仿宋" w:eastAsia="仿宋" w:hAnsi="仿宋" w:hint="eastAsia"/>
          <w:sz w:val="32"/>
          <w:szCs w:val="32"/>
        </w:rPr>
        <w:t>其中首执案件</w:t>
      </w:r>
      <w:proofErr w:type="gramEnd"/>
      <w:r w:rsidR="003303E3" w:rsidRPr="003303E3">
        <w:rPr>
          <w:rFonts w:ascii="仿宋" w:eastAsia="仿宋" w:hAnsi="仿宋" w:hint="eastAsia"/>
          <w:sz w:val="32"/>
          <w:szCs w:val="32"/>
        </w:rPr>
        <w:t>23</w:t>
      </w:r>
      <w:r w:rsidR="00607152" w:rsidRPr="003303E3">
        <w:rPr>
          <w:rFonts w:ascii="仿宋" w:eastAsia="仿宋" w:hAnsi="仿宋" w:hint="eastAsia"/>
          <w:sz w:val="32"/>
          <w:szCs w:val="32"/>
        </w:rPr>
        <w:t>件、</w:t>
      </w:r>
      <w:proofErr w:type="gramStart"/>
      <w:r w:rsidR="00607152" w:rsidRPr="003303E3">
        <w:rPr>
          <w:rFonts w:ascii="仿宋" w:eastAsia="仿宋" w:hAnsi="仿宋" w:hint="eastAsia"/>
          <w:sz w:val="32"/>
          <w:szCs w:val="32"/>
        </w:rPr>
        <w:t>执保案件</w:t>
      </w:r>
      <w:proofErr w:type="gramEnd"/>
      <w:r w:rsidR="00E51FD3" w:rsidRPr="003303E3">
        <w:rPr>
          <w:rFonts w:ascii="仿宋" w:eastAsia="仿宋" w:hAnsi="仿宋" w:hint="eastAsia"/>
          <w:sz w:val="32"/>
          <w:szCs w:val="32"/>
        </w:rPr>
        <w:t>4</w:t>
      </w:r>
      <w:r w:rsidR="00607152" w:rsidRPr="003303E3">
        <w:rPr>
          <w:rFonts w:ascii="仿宋" w:eastAsia="仿宋" w:hAnsi="仿宋" w:hint="eastAsia"/>
          <w:sz w:val="32"/>
          <w:szCs w:val="32"/>
        </w:rPr>
        <w:t>件、执</w:t>
      </w:r>
      <w:proofErr w:type="gramStart"/>
      <w:r w:rsidR="00607152" w:rsidRPr="003303E3">
        <w:rPr>
          <w:rFonts w:ascii="仿宋" w:eastAsia="仿宋" w:hAnsi="仿宋" w:hint="eastAsia"/>
          <w:sz w:val="32"/>
          <w:szCs w:val="32"/>
        </w:rPr>
        <w:t>恢</w:t>
      </w:r>
      <w:proofErr w:type="gramEnd"/>
      <w:r w:rsidR="00607152" w:rsidRPr="003303E3">
        <w:rPr>
          <w:rFonts w:ascii="仿宋" w:eastAsia="仿宋" w:hAnsi="仿宋" w:hint="eastAsia"/>
          <w:sz w:val="32"/>
          <w:szCs w:val="32"/>
        </w:rPr>
        <w:t>案件</w:t>
      </w:r>
      <w:r w:rsidR="003303E3" w:rsidRPr="003303E3">
        <w:rPr>
          <w:rFonts w:ascii="仿宋" w:eastAsia="仿宋" w:hAnsi="仿宋" w:hint="eastAsia"/>
          <w:sz w:val="32"/>
          <w:szCs w:val="32"/>
        </w:rPr>
        <w:t>15</w:t>
      </w:r>
      <w:r w:rsidR="00607152" w:rsidRPr="003303E3">
        <w:rPr>
          <w:rFonts w:ascii="仿宋" w:eastAsia="仿宋" w:hAnsi="仿宋" w:hint="eastAsia"/>
          <w:sz w:val="32"/>
          <w:szCs w:val="32"/>
        </w:rPr>
        <w:t>件</w:t>
      </w:r>
      <w:r w:rsidR="003303E3">
        <w:rPr>
          <w:rFonts w:ascii="仿宋" w:eastAsia="仿宋" w:hAnsi="仿宋" w:hint="eastAsia"/>
          <w:sz w:val="32"/>
          <w:szCs w:val="32"/>
        </w:rPr>
        <w:t>。</w:t>
      </w:r>
      <w:r w:rsidR="003303E3">
        <w:rPr>
          <w:rFonts w:ascii="仿宋_GB2312" w:eastAsia="仿宋_GB2312" w:hAnsi="仿宋_GB2312" w:cs="仿宋_GB2312" w:hint="eastAsia"/>
          <w:sz w:val="32"/>
          <w:szCs w:val="32"/>
        </w:rPr>
        <w:t>有财产可供执行案件法定期限内实际执结率100%，</w:t>
      </w:r>
      <w:proofErr w:type="gramStart"/>
      <w:r w:rsidR="003303E3">
        <w:rPr>
          <w:rFonts w:ascii="仿宋_GB2312" w:eastAsia="仿宋_GB2312" w:hAnsi="仿宋_GB2312" w:cs="仿宋_GB2312" w:hint="eastAsia"/>
          <w:sz w:val="32"/>
          <w:szCs w:val="32"/>
        </w:rPr>
        <w:t>终本案件</w:t>
      </w:r>
      <w:proofErr w:type="gramEnd"/>
      <w:r w:rsidR="003303E3">
        <w:rPr>
          <w:rFonts w:ascii="仿宋_GB2312" w:eastAsia="仿宋_GB2312" w:hAnsi="仿宋_GB2312" w:cs="仿宋_GB2312" w:hint="eastAsia"/>
          <w:sz w:val="32"/>
          <w:szCs w:val="32"/>
        </w:rPr>
        <w:t>合格率(不含执</w:t>
      </w:r>
      <w:proofErr w:type="gramStart"/>
      <w:r w:rsidR="003303E3">
        <w:rPr>
          <w:rFonts w:ascii="仿宋_GB2312" w:eastAsia="仿宋_GB2312" w:hAnsi="仿宋_GB2312" w:cs="仿宋_GB2312" w:hint="eastAsia"/>
          <w:sz w:val="32"/>
          <w:szCs w:val="32"/>
        </w:rPr>
        <w:t>恢</w:t>
      </w:r>
      <w:proofErr w:type="gramEnd"/>
      <w:r w:rsidR="003303E3">
        <w:rPr>
          <w:rFonts w:ascii="仿宋_GB2312" w:eastAsia="仿宋_GB2312" w:hAnsi="仿宋_GB2312" w:cs="仿宋_GB2312" w:hint="eastAsia"/>
          <w:sz w:val="32"/>
          <w:szCs w:val="32"/>
        </w:rPr>
        <w:t>)100%，首次执行案件执结率77.27%，全口径执结率86.11%，实际执行到位率0.56%，执行完毕率68.18%，</w:t>
      </w:r>
      <w:proofErr w:type="gramStart"/>
      <w:r w:rsidR="003303E3">
        <w:rPr>
          <w:rFonts w:ascii="仿宋_GB2312" w:eastAsia="仿宋_GB2312" w:hAnsi="仿宋_GB2312" w:cs="仿宋_GB2312" w:hint="eastAsia"/>
          <w:sz w:val="32"/>
          <w:szCs w:val="32"/>
        </w:rPr>
        <w:t>终本率</w:t>
      </w:r>
      <w:proofErr w:type="gramEnd"/>
      <w:r w:rsidR="003303E3">
        <w:rPr>
          <w:rFonts w:ascii="仿宋_GB2312" w:eastAsia="仿宋_GB2312" w:hAnsi="仿宋_GB2312" w:cs="仿宋_GB2312" w:hint="eastAsia"/>
          <w:sz w:val="32"/>
          <w:szCs w:val="32"/>
        </w:rPr>
        <w:t>4.55%，终结率4.55%，实际执结率72.73%，法定期限内结案率100%，结案平均用时14.24天，执行完毕案件结案平均用时8.27天。</w:t>
      </w:r>
    </w:p>
    <w:p w:rsidR="00270ADB" w:rsidRPr="00A73493" w:rsidRDefault="0081489E" w:rsidP="00C3195B">
      <w:pPr>
        <w:spacing w:after="0" w:line="360" w:lineRule="auto"/>
        <w:ind w:firstLineChars="200" w:firstLine="640"/>
        <w:jc w:val="both"/>
        <w:rPr>
          <w:rFonts w:ascii="仿宋" w:eastAsia="仿宋" w:hAnsi="仿宋"/>
          <w:sz w:val="32"/>
          <w:szCs w:val="32"/>
        </w:rPr>
      </w:pPr>
      <w:r w:rsidRPr="00A73493">
        <w:rPr>
          <w:rFonts w:ascii="仿宋" w:eastAsia="仿宋" w:hAnsi="仿宋" w:hint="eastAsia"/>
          <w:sz w:val="32"/>
          <w:szCs w:val="32"/>
        </w:rPr>
        <w:t>与去年同期相比，执行</w:t>
      </w:r>
      <w:r w:rsidR="003303E3" w:rsidRPr="00A73493">
        <w:rPr>
          <w:rFonts w:ascii="仿宋" w:eastAsia="仿宋" w:hAnsi="仿宋" w:hint="eastAsia"/>
          <w:sz w:val="32"/>
          <w:szCs w:val="32"/>
        </w:rPr>
        <w:t>新收</w:t>
      </w:r>
      <w:r w:rsidR="00AE6944" w:rsidRPr="00A73493">
        <w:rPr>
          <w:rFonts w:ascii="仿宋" w:eastAsia="仿宋" w:hAnsi="仿宋" w:hint="eastAsia"/>
          <w:sz w:val="32"/>
          <w:szCs w:val="32"/>
        </w:rPr>
        <w:t>案件减少</w:t>
      </w:r>
      <w:r w:rsidR="00BF24C6" w:rsidRPr="00A73493">
        <w:rPr>
          <w:rFonts w:ascii="仿宋" w:eastAsia="仿宋" w:hAnsi="仿宋" w:hint="eastAsia"/>
          <w:sz w:val="32"/>
          <w:szCs w:val="32"/>
        </w:rPr>
        <w:t>1</w:t>
      </w:r>
      <w:r w:rsidR="003303E3" w:rsidRPr="00A73493">
        <w:rPr>
          <w:rFonts w:ascii="仿宋" w:eastAsia="仿宋" w:hAnsi="仿宋" w:hint="eastAsia"/>
          <w:sz w:val="32"/>
          <w:szCs w:val="32"/>
        </w:rPr>
        <w:t>4</w:t>
      </w:r>
      <w:r w:rsidR="00AE6944" w:rsidRPr="00A73493">
        <w:rPr>
          <w:rFonts w:ascii="仿宋" w:eastAsia="仿宋" w:hAnsi="仿宋" w:hint="eastAsia"/>
          <w:sz w:val="32"/>
          <w:szCs w:val="32"/>
        </w:rPr>
        <w:t>件，同比下降</w:t>
      </w:r>
      <w:r w:rsidR="003303E3" w:rsidRPr="00A73493">
        <w:rPr>
          <w:rFonts w:ascii="仿宋" w:eastAsia="仿宋" w:hAnsi="仿宋" w:hint="eastAsia"/>
          <w:sz w:val="32"/>
          <w:szCs w:val="32"/>
        </w:rPr>
        <w:t>23.73</w:t>
      </w:r>
      <w:r w:rsidR="00AE6944" w:rsidRPr="00A73493">
        <w:rPr>
          <w:rFonts w:ascii="仿宋" w:eastAsia="仿宋" w:hAnsi="仿宋" w:hint="eastAsia"/>
          <w:sz w:val="32"/>
          <w:szCs w:val="32"/>
        </w:rPr>
        <w:t>%</w:t>
      </w:r>
      <w:r w:rsidR="006C59C7" w:rsidRPr="00A73493">
        <w:rPr>
          <w:rFonts w:ascii="仿宋" w:eastAsia="仿宋" w:hAnsi="仿宋" w:hint="eastAsia"/>
          <w:sz w:val="32"/>
          <w:szCs w:val="32"/>
        </w:rPr>
        <w:t xml:space="preserve"> ；</w:t>
      </w:r>
      <w:r w:rsidR="00295B78" w:rsidRPr="00A73493">
        <w:rPr>
          <w:rFonts w:ascii="仿宋" w:eastAsia="仿宋" w:hAnsi="仿宋" w:hint="eastAsia"/>
          <w:sz w:val="32"/>
          <w:szCs w:val="32"/>
        </w:rPr>
        <w:t>执</w:t>
      </w:r>
      <w:proofErr w:type="gramStart"/>
      <w:r w:rsidR="00295B78" w:rsidRPr="00A73493">
        <w:rPr>
          <w:rFonts w:ascii="仿宋" w:eastAsia="仿宋" w:hAnsi="仿宋" w:hint="eastAsia"/>
          <w:sz w:val="32"/>
          <w:szCs w:val="32"/>
        </w:rPr>
        <w:t>结</w:t>
      </w:r>
      <w:r w:rsidRPr="00A73493">
        <w:rPr>
          <w:rFonts w:ascii="仿宋" w:eastAsia="仿宋" w:hAnsi="仿宋" w:hint="eastAsia"/>
          <w:sz w:val="32"/>
          <w:szCs w:val="32"/>
        </w:rPr>
        <w:t>减少</w:t>
      </w:r>
      <w:proofErr w:type="gramEnd"/>
      <w:r w:rsidR="003303E3" w:rsidRPr="00A73493">
        <w:rPr>
          <w:rFonts w:ascii="仿宋" w:eastAsia="仿宋" w:hAnsi="仿宋" w:hint="eastAsia"/>
          <w:sz w:val="32"/>
          <w:szCs w:val="32"/>
        </w:rPr>
        <w:t>17</w:t>
      </w:r>
      <w:r w:rsidR="00AE6944" w:rsidRPr="00A73493">
        <w:rPr>
          <w:rFonts w:ascii="仿宋" w:eastAsia="仿宋" w:hAnsi="仿宋" w:hint="eastAsia"/>
          <w:sz w:val="32"/>
          <w:szCs w:val="32"/>
        </w:rPr>
        <w:t>件，</w:t>
      </w:r>
      <w:r w:rsidR="00B52436" w:rsidRPr="00A73493">
        <w:rPr>
          <w:rFonts w:ascii="仿宋" w:eastAsia="仿宋" w:hAnsi="仿宋" w:hint="eastAsia"/>
          <w:sz w:val="32"/>
          <w:szCs w:val="32"/>
        </w:rPr>
        <w:t>同比</w:t>
      </w:r>
      <w:r w:rsidRPr="00A73493">
        <w:rPr>
          <w:rFonts w:ascii="仿宋" w:eastAsia="仿宋" w:hAnsi="仿宋" w:hint="eastAsia"/>
          <w:sz w:val="32"/>
          <w:szCs w:val="32"/>
        </w:rPr>
        <w:t>下降</w:t>
      </w:r>
      <w:r w:rsidR="003303E3" w:rsidRPr="00A73493">
        <w:rPr>
          <w:rFonts w:ascii="仿宋" w:eastAsia="仿宋" w:hAnsi="仿宋" w:hint="eastAsia"/>
          <w:sz w:val="32"/>
          <w:szCs w:val="32"/>
        </w:rPr>
        <w:t>28.81</w:t>
      </w:r>
      <w:r w:rsidR="00AE6944" w:rsidRPr="00A73493">
        <w:rPr>
          <w:rFonts w:ascii="仿宋" w:eastAsia="仿宋" w:hAnsi="仿宋" w:hint="eastAsia"/>
          <w:sz w:val="32"/>
          <w:szCs w:val="32"/>
        </w:rPr>
        <w:t>% ；未结案件</w:t>
      </w:r>
      <w:r w:rsidRPr="00A73493">
        <w:rPr>
          <w:rFonts w:ascii="仿宋" w:eastAsia="仿宋" w:hAnsi="仿宋" w:hint="eastAsia"/>
          <w:sz w:val="32"/>
          <w:szCs w:val="32"/>
        </w:rPr>
        <w:t>增加</w:t>
      </w:r>
      <w:r w:rsidR="00A73493" w:rsidRPr="00A73493">
        <w:rPr>
          <w:rFonts w:ascii="仿宋" w:eastAsia="仿宋" w:hAnsi="仿宋" w:hint="eastAsia"/>
          <w:sz w:val="32"/>
          <w:szCs w:val="32"/>
        </w:rPr>
        <w:t>3</w:t>
      </w:r>
      <w:r w:rsidR="00AE6944" w:rsidRPr="00A73493">
        <w:rPr>
          <w:rFonts w:ascii="仿宋" w:eastAsia="仿宋" w:hAnsi="仿宋" w:hint="eastAsia"/>
          <w:sz w:val="32"/>
          <w:szCs w:val="32"/>
        </w:rPr>
        <w:t>件，</w:t>
      </w:r>
      <w:r w:rsidR="00733313" w:rsidRPr="00A73493">
        <w:rPr>
          <w:rFonts w:ascii="仿宋" w:eastAsia="仿宋" w:hAnsi="仿宋" w:hint="eastAsia"/>
          <w:sz w:val="32"/>
          <w:szCs w:val="32"/>
        </w:rPr>
        <w:t>结案率</w:t>
      </w:r>
      <w:r w:rsidR="00A73493" w:rsidRPr="00A73493">
        <w:rPr>
          <w:rFonts w:ascii="仿宋" w:eastAsia="仿宋" w:hAnsi="仿宋" w:hint="eastAsia"/>
          <w:sz w:val="32"/>
          <w:szCs w:val="32"/>
        </w:rPr>
        <w:t>下降6.67</w:t>
      </w:r>
      <w:r w:rsidR="00B94EE6" w:rsidRPr="00A73493">
        <w:rPr>
          <w:rFonts w:ascii="仿宋" w:eastAsia="仿宋" w:hAnsi="仿宋" w:hint="eastAsia"/>
          <w:sz w:val="32"/>
          <w:szCs w:val="32"/>
        </w:rPr>
        <w:t>个</w:t>
      </w:r>
      <w:r w:rsidR="00733313" w:rsidRPr="00A73493">
        <w:rPr>
          <w:rFonts w:ascii="仿宋" w:eastAsia="仿宋" w:hAnsi="仿宋" w:hint="eastAsia"/>
          <w:sz w:val="32"/>
          <w:szCs w:val="32"/>
        </w:rPr>
        <w:t>百分点。</w:t>
      </w:r>
    </w:p>
    <w:p w:rsidR="00D30CF3" w:rsidRPr="00B97C70" w:rsidRDefault="00AE6944" w:rsidP="00B97C70">
      <w:pPr>
        <w:spacing w:after="0" w:line="360" w:lineRule="auto"/>
        <w:ind w:firstLineChars="200" w:firstLine="640"/>
        <w:jc w:val="both"/>
        <w:rPr>
          <w:rFonts w:ascii="黑体" w:eastAsia="黑体" w:hAnsi="黑体"/>
          <w:sz w:val="32"/>
          <w:szCs w:val="32"/>
        </w:rPr>
      </w:pPr>
      <w:r>
        <w:rPr>
          <w:rFonts w:ascii="黑体" w:eastAsia="黑体" w:hAnsi="黑体"/>
          <w:noProof/>
          <w:sz w:val="32"/>
          <w:szCs w:val="32"/>
        </w:rPr>
        <w:drawing>
          <wp:inline distT="0" distB="0" distL="0" distR="0">
            <wp:extent cx="5486400" cy="2971800"/>
            <wp:effectExtent l="19050" t="0" r="19050" b="0"/>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147D2" w:rsidRPr="00B60954" w:rsidRDefault="00E147D2" w:rsidP="00E147D2">
      <w:pPr>
        <w:spacing w:after="0" w:line="360" w:lineRule="auto"/>
        <w:ind w:firstLineChars="200" w:firstLine="643"/>
        <w:jc w:val="both"/>
        <w:rPr>
          <w:rFonts w:asciiTheme="majorEastAsia" w:eastAsiaTheme="majorEastAsia" w:hAnsiTheme="majorEastAsia"/>
          <w:b/>
          <w:sz w:val="32"/>
          <w:szCs w:val="32"/>
        </w:rPr>
      </w:pPr>
      <w:r w:rsidRPr="00CA0E80">
        <w:rPr>
          <w:rFonts w:asciiTheme="majorEastAsia" w:eastAsiaTheme="majorEastAsia" w:hAnsiTheme="majorEastAsia" w:hint="eastAsia"/>
          <w:b/>
          <w:sz w:val="32"/>
          <w:szCs w:val="32"/>
        </w:rPr>
        <w:t>（四）</w:t>
      </w:r>
      <w:r w:rsidR="00D30CF3" w:rsidRPr="00CA0E80">
        <w:rPr>
          <w:rFonts w:asciiTheme="majorEastAsia" w:eastAsiaTheme="majorEastAsia" w:hAnsiTheme="majorEastAsia" w:hint="eastAsia"/>
          <w:b/>
          <w:sz w:val="32"/>
          <w:szCs w:val="32"/>
        </w:rPr>
        <w:t>结案</w:t>
      </w:r>
      <w:r w:rsidR="00D30CF3" w:rsidRPr="00B60954">
        <w:rPr>
          <w:rFonts w:asciiTheme="majorEastAsia" w:eastAsiaTheme="majorEastAsia" w:hAnsiTheme="majorEastAsia" w:hint="eastAsia"/>
          <w:b/>
          <w:sz w:val="32"/>
          <w:szCs w:val="32"/>
        </w:rPr>
        <w:t>率</w:t>
      </w:r>
      <w:r w:rsidRPr="00B60954">
        <w:rPr>
          <w:rFonts w:asciiTheme="majorEastAsia" w:eastAsiaTheme="majorEastAsia" w:hAnsiTheme="majorEastAsia" w:hint="eastAsia"/>
          <w:b/>
          <w:sz w:val="32"/>
          <w:szCs w:val="32"/>
        </w:rPr>
        <w:t>情况</w:t>
      </w:r>
      <w:r w:rsidR="004644A6" w:rsidRPr="00B60954">
        <w:rPr>
          <w:rFonts w:asciiTheme="majorEastAsia" w:eastAsiaTheme="majorEastAsia" w:hAnsiTheme="majorEastAsia" w:hint="eastAsia"/>
          <w:b/>
          <w:sz w:val="32"/>
          <w:szCs w:val="32"/>
        </w:rPr>
        <w:t>（全口径）</w:t>
      </w:r>
    </w:p>
    <w:p w:rsidR="000C1987" w:rsidRPr="00C22469" w:rsidRDefault="00694C68" w:rsidP="00B60954">
      <w:pPr>
        <w:spacing w:after="0" w:line="360" w:lineRule="auto"/>
        <w:ind w:firstLineChars="250" w:firstLine="800"/>
        <w:jc w:val="both"/>
        <w:rPr>
          <w:rFonts w:ascii="仿宋" w:eastAsia="仿宋" w:hAnsi="仿宋"/>
          <w:sz w:val="32"/>
          <w:szCs w:val="32"/>
        </w:rPr>
      </w:pPr>
      <w:r w:rsidRPr="00B60954">
        <w:rPr>
          <w:rFonts w:ascii="仿宋" w:eastAsia="仿宋" w:hAnsi="仿宋" w:hint="eastAsia"/>
          <w:sz w:val="32"/>
          <w:szCs w:val="32"/>
        </w:rPr>
        <w:lastRenderedPageBreak/>
        <w:t>2022年上半年</w:t>
      </w:r>
      <w:r w:rsidR="00555227" w:rsidRPr="00B60954">
        <w:rPr>
          <w:rFonts w:ascii="仿宋" w:eastAsia="仿宋" w:hAnsi="仿宋" w:hint="eastAsia"/>
          <w:sz w:val="32"/>
          <w:szCs w:val="32"/>
        </w:rPr>
        <w:t>我院</w:t>
      </w:r>
      <w:r w:rsidR="00D30CF3" w:rsidRPr="00B60954">
        <w:rPr>
          <w:rFonts w:ascii="仿宋" w:eastAsia="仿宋" w:hAnsi="仿宋" w:hint="eastAsia"/>
          <w:sz w:val="32"/>
          <w:szCs w:val="32"/>
        </w:rPr>
        <w:t>结案率为</w:t>
      </w:r>
      <w:r w:rsidR="00B60954" w:rsidRPr="00B60954">
        <w:rPr>
          <w:rFonts w:ascii="仿宋" w:eastAsia="仿宋" w:hAnsi="仿宋" w:hint="eastAsia"/>
          <w:sz w:val="32"/>
          <w:szCs w:val="32"/>
        </w:rPr>
        <w:t>95.31</w:t>
      </w:r>
      <w:r w:rsidR="00D30CF3" w:rsidRPr="00B60954">
        <w:rPr>
          <w:rFonts w:ascii="仿宋" w:eastAsia="仿宋" w:hAnsi="仿宋" w:hint="eastAsia"/>
          <w:sz w:val="32"/>
          <w:szCs w:val="32"/>
        </w:rPr>
        <w:t>%</w:t>
      </w:r>
      <w:r w:rsidR="007D7CA1" w:rsidRPr="00B60954">
        <w:rPr>
          <w:rFonts w:ascii="仿宋" w:eastAsia="仿宋" w:hAnsi="仿宋" w:hint="eastAsia"/>
          <w:sz w:val="32"/>
          <w:szCs w:val="32"/>
        </w:rPr>
        <w:t>，</w:t>
      </w:r>
      <w:r w:rsidR="00B60954" w:rsidRPr="00B60954">
        <w:rPr>
          <w:rFonts w:ascii="仿宋" w:eastAsia="仿宋" w:hAnsi="仿宋" w:hint="eastAsia"/>
          <w:sz w:val="32"/>
          <w:szCs w:val="32"/>
        </w:rPr>
        <w:t>二</w:t>
      </w:r>
      <w:r w:rsidR="00EC3D1D" w:rsidRPr="00B60954">
        <w:rPr>
          <w:rFonts w:ascii="Times New Roman" w:eastAsia="仿宋_GB2312" w:hAnsi="Times New Roman" w:cs="Times New Roman"/>
          <w:sz w:val="32"/>
          <w:szCs w:val="32"/>
        </w:rPr>
        <w:t>季度结案率</w:t>
      </w:r>
      <w:r w:rsidR="00AB6AA3" w:rsidRPr="00B60954">
        <w:rPr>
          <w:rFonts w:ascii="Times New Roman" w:eastAsia="仿宋_GB2312" w:hAnsi="Times New Roman" w:cs="Times New Roman"/>
          <w:sz w:val="32"/>
          <w:szCs w:val="32"/>
        </w:rPr>
        <w:t>基础比率</w:t>
      </w:r>
      <w:r w:rsidR="00EC3D1D" w:rsidRPr="00B60954">
        <w:rPr>
          <w:rFonts w:ascii="Times New Roman" w:eastAsia="仿宋_GB2312" w:hAnsi="Times New Roman" w:cs="Times New Roman"/>
          <w:sz w:val="32"/>
          <w:szCs w:val="32"/>
        </w:rPr>
        <w:t>为</w:t>
      </w:r>
      <w:r w:rsidR="00B60954" w:rsidRPr="00B60954">
        <w:rPr>
          <w:rFonts w:ascii="Times New Roman" w:eastAsia="仿宋_GB2312" w:hAnsi="Times New Roman" w:cs="Times New Roman" w:hint="eastAsia"/>
          <w:sz w:val="32"/>
          <w:szCs w:val="32"/>
        </w:rPr>
        <w:t>85</w:t>
      </w:r>
      <w:r w:rsidR="00EC3D1D" w:rsidRPr="00B60954">
        <w:rPr>
          <w:rFonts w:ascii="Times New Roman" w:eastAsia="仿宋_GB2312" w:hAnsi="Times New Roman" w:cs="Times New Roman"/>
          <w:sz w:val="32"/>
          <w:szCs w:val="32"/>
        </w:rPr>
        <w:t>%</w:t>
      </w:r>
      <w:r w:rsidR="00D30CF3" w:rsidRPr="00B60954">
        <w:rPr>
          <w:rFonts w:ascii="仿宋" w:eastAsia="仿宋" w:hAnsi="仿宋" w:hint="eastAsia"/>
          <w:sz w:val="32"/>
          <w:szCs w:val="32"/>
        </w:rPr>
        <w:t>，高出指标值</w:t>
      </w:r>
      <w:r w:rsidR="00B60954" w:rsidRPr="00B60954">
        <w:rPr>
          <w:rFonts w:ascii="仿宋" w:eastAsia="仿宋" w:hAnsi="仿宋" w:hint="eastAsia"/>
          <w:sz w:val="32"/>
          <w:szCs w:val="32"/>
        </w:rPr>
        <w:t>10.31</w:t>
      </w:r>
      <w:r w:rsidR="00D30CF3" w:rsidRPr="00B60954">
        <w:rPr>
          <w:rFonts w:ascii="仿宋" w:eastAsia="仿宋" w:hAnsi="仿宋" w:hint="eastAsia"/>
          <w:sz w:val="32"/>
          <w:szCs w:val="32"/>
        </w:rPr>
        <w:t>个百分点</w:t>
      </w:r>
      <w:r w:rsidR="00A94BBF" w:rsidRPr="00B60954">
        <w:rPr>
          <w:rFonts w:ascii="仿宋" w:eastAsia="仿宋" w:hAnsi="仿宋" w:hint="eastAsia"/>
          <w:sz w:val="32"/>
          <w:szCs w:val="32"/>
        </w:rPr>
        <w:t>。</w:t>
      </w:r>
    </w:p>
    <w:p w:rsidR="00FB7347" w:rsidRPr="0045554F" w:rsidRDefault="000C4A73" w:rsidP="0045554F">
      <w:pPr>
        <w:spacing w:after="0" w:line="360" w:lineRule="auto"/>
        <w:ind w:firstLineChars="196" w:firstLine="630"/>
        <w:jc w:val="both"/>
        <w:rPr>
          <w:rFonts w:asciiTheme="minorEastAsia" w:eastAsiaTheme="minorEastAsia" w:hAnsiTheme="minorEastAsia"/>
          <w:b/>
          <w:sz w:val="32"/>
          <w:szCs w:val="32"/>
        </w:rPr>
      </w:pPr>
      <w:r w:rsidRPr="0045554F">
        <w:rPr>
          <w:rFonts w:asciiTheme="minorEastAsia" w:eastAsiaTheme="minorEastAsia" w:hAnsiTheme="minorEastAsia" w:hint="eastAsia"/>
          <w:b/>
          <w:sz w:val="32"/>
          <w:szCs w:val="32"/>
        </w:rPr>
        <w:t>（</w:t>
      </w:r>
      <w:r w:rsidR="00E147D2">
        <w:rPr>
          <w:rFonts w:asciiTheme="minorEastAsia" w:eastAsiaTheme="minorEastAsia" w:hAnsiTheme="minorEastAsia" w:hint="eastAsia"/>
          <w:b/>
          <w:sz w:val="32"/>
          <w:szCs w:val="32"/>
        </w:rPr>
        <w:t>五</w:t>
      </w:r>
      <w:r w:rsidRPr="0045554F">
        <w:rPr>
          <w:rFonts w:asciiTheme="minorEastAsia" w:eastAsiaTheme="minorEastAsia" w:hAnsiTheme="minorEastAsia" w:hint="eastAsia"/>
          <w:b/>
          <w:sz w:val="32"/>
          <w:szCs w:val="32"/>
        </w:rPr>
        <w:t>）</w:t>
      </w:r>
      <w:r w:rsidR="00EC3D1D">
        <w:rPr>
          <w:rFonts w:asciiTheme="minorEastAsia" w:eastAsiaTheme="minorEastAsia" w:hAnsiTheme="minorEastAsia" w:hint="eastAsia"/>
          <w:b/>
          <w:sz w:val="32"/>
          <w:szCs w:val="32"/>
        </w:rPr>
        <w:t>诉讼案件</w:t>
      </w:r>
      <w:r w:rsidR="00EC3D1D" w:rsidRPr="0045554F">
        <w:rPr>
          <w:rFonts w:asciiTheme="majorEastAsia" w:eastAsiaTheme="majorEastAsia" w:hAnsiTheme="majorEastAsia" w:hint="eastAsia"/>
          <w:b/>
          <w:sz w:val="32"/>
          <w:szCs w:val="32"/>
        </w:rPr>
        <w:t>法定审限内结案率情况</w:t>
      </w:r>
    </w:p>
    <w:p w:rsidR="00EC3D1D" w:rsidRPr="00E147D2" w:rsidRDefault="00694C68" w:rsidP="00EC3D1D">
      <w:pPr>
        <w:spacing w:after="0" w:line="360" w:lineRule="auto"/>
        <w:ind w:firstLineChars="250" w:firstLine="800"/>
        <w:jc w:val="both"/>
        <w:rPr>
          <w:rFonts w:ascii="仿宋" w:eastAsia="仿宋" w:hAnsi="仿宋"/>
          <w:sz w:val="32"/>
          <w:szCs w:val="32"/>
        </w:rPr>
      </w:pPr>
      <w:r>
        <w:rPr>
          <w:rFonts w:ascii="仿宋" w:eastAsia="仿宋" w:hAnsi="仿宋" w:hint="eastAsia"/>
          <w:sz w:val="32"/>
          <w:szCs w:val="32"/>
        </w:rPr>
        <w:t>2022年上半年</w:t>
      </w:r>
      <w:r w:rsidR="00EC3D1D">
        <w:rPr>
          <w:rFonts w:ascii="仿宋" w:eastAsia="仿宋" w:hAnsi="仿宋" w:hint="eastAsia"/>
          <w:sz w:val="32"/>
          <w:szCs w:val="32"/>
        </w:rPr>
        <w:t>，</w:t>
      </w:r>
      <w:r w:rsidR="00D469A3">
        <w:rPr>
          <w:rFonts w:ascii="仿宋" w:eastAsia="仿宋" w:hAnsi="仿宋" w:hint="eastAsia"/>
          <w:sz w:val="32"/>
          <w:szCs w:val="32"/>
        </w:rPr>
        <w:t>我院</w:t>
      </w:r>
      <w:r w:rsidR="00EC3D1D">
        <w:rPr>
          <w:rFonts w:ascii="仿宋" w:eastAsia="仿宋" w:hAnsi="仿宋" w:hint="eastAsia"/>
          <w:sz w:val="32"/>
          <w:szCs w:val="32"/>
        </w:rPr>
        <w:t>法定（正常）审限内结案率100%。</w:t>
      </w:r>
    </w:p>
    <w:p w:rsidR="006F22F7" w:rsidRPr="0045554F" w:rsidRDefault="00AE6944" w:rsidP="00245BD3">
      <w:pPr>
        <w:spacing w:after="0" w:line="360" w:lineRule="auto"/>
        <w:ind w:firstLineChars="200" w:firstLine="643"/>
        <w:jc w:val="both"/>
        <w:rPr>
          <w:rFonts w:asciiTheme="majorEastAsia" w:eastAsiaTheme="majorEastAsia" w:hAnsiTheme="majorEastAsia"/>
          <w:b/>
          <w:sz w:val="32"/>
          <w:szCs w:val="32"/>
        </w:rPr>
      </w:pPr>
      <w:r w:rsidRPr="0045554F">
        <w:rPr>
          <w:rFonts w:asciiTheme="majorEastAsia" w:eastAsiaTheme="majorEastAsia" w:hAnsiTheme="majorEastAsia" w:hint="eastAsia"/>
          <w:b/>
          <w:sz w:val="32"/>
          <w:szCs w:val="32"/>
        </w:rPr>
        <w:t>（</w:t>
      </w:r>
      <w:r w:rsidR="00E147D2">
        <w:rPr>
          <w:rFonts w:asciiTheme="majorEastAsia" w:eastAsiaTheme="majorEastAsia" w:hAnsiTheme="majorEastAsia" w:hint="eastAsia"/>
          <w:b/>
          <w:sz w:val="32"/>
          <w:szCs w:val="32"/>
        </w:rPr>
        <w:t>六</w:t>
      </w:r>
      <w:r w:rsidRPr="0045554F">
        <w:rPr>
          <w:rFonts w:asciiTheme="majorEastAsia" w:eastAsiaTheme="majorEastAsia" w:hAnsiTheme="majorEastAsia" w:hint="eastAsia"/>
          <w:b/>
          <w:sz w:val="32"/>
          <w:szCs w:val="32"/>
        </w:rPr>
        <w:t>）</w:t>
      </w:r>
      <w:r w:rsidR="00EC3D1D" w:rsidRPr="00F80671">
        <w:rPr>
          <w:rFonts w:asciiTheme="majorEastAsia" w:eastAsiaTheme="majorEastAsia" w:hAnsiTheme="majorEastAsia" w:hint="eastAsia"/>
          <w:b/>
          <w:sz w:val="32"/>
          <w:szCs w:val="32"/>
        </w:rPr>
        <w:t>简易程序适用率情况</w:t>
      </w:r>
    </w:p>
    <w:p w:rsidR="00EC3D1D" w:rsidRPr="00E85FE2" w:rsidRDefault="00694C68" w:rsidP="00E85FE2">
      <w:pPr>
        <w:spacing w:after="0" w:line="360" w:lineRule="auto"/>
        <w:ind w:firstLineChars="196" w:firstLine="627"/>
        <w:jc w:val="both"/>
        <w:rPr>
          <w:rFonts w:asciiTheme="majorEastAsia" w:eastAsiaTheme="majorEastAsia" w:hAnsiTheme="majorEastAsia"/>
          <w:b/>
          <w:sz w:val="32"/>
          <w:szCs w:val="32"/>
        </w:rPr>
      </w:pPr>
      <w:r>
        <w:rPr>
          <w:rFonts w:ascii="仿宋" w:eastAsia="仿宋" w:hAnsi="仿宋" w:hint="eastAsia"/>
          <w:sz w:val="32"/>
          <w:szCs w:val="32"/>
        </w:rPr>
        <w:t>2022年上半年</w:t>
      </w:r>
      <w:r w:rsidR="00EC3D1D" w:rsidRPr="00D469A3">
        <w:rPr>
          <w:rFonts w:ascii="仿宋" w:eastAsia="仿宋" w:hAnsi="仿宋" w:hint="eastAsia"/>
          <w:sz w:val="32"/>
          <w:szCs w:val="32"/>
        </w:rPr>
        <w:t>适用简易程序案件共</w:t>
      </w:r>
      <w:r w:rsidR="00545595">
        <w:rPr>
          <w:rFonts w:ascii="仿宋" w:eastAsia="仿宋" w:hAnsi="仿宋" w:hint="eastAsia"/>
          <w:sz w:val="32"/>
          <w:szCs w:val="32"/>
        </w:rPr>
        <w:t>15</w:t>
      </w:r>
      <w:r w:rsidR="00EC3D1D" w:rsidRPr="00D469A3">
        <w:rPr>
          <w:rFonts w:ascii="仿宋" w:eastAsia="仿宋" w:hAnsi="仿宋" w:hint="eastAsia"/>
          <w:sz w:val="32"/>
          <w:szCs w:val="32"/>
        </w:rPr>
        <w:t>件，其中刑事案件适用简易程序</w:t>
      </w:r>
      <w:r w:rsidR="00545595">
        <w:rPr>
          <w:rFonts w:ascii="仿宋" w:eastAsia="仿宋" w:hAnsi="仿宋" w:hint="eastAsia"/>
          <w:sz w:val="32"/>
          <w:szCs w:val="32"/>
        </w:rPr>
        <w:t>1</w:t>
      </w:r>
      <w:r w:rsidR="00EC3D1D" w:rsidRPr="00D469A3">
        <w:rPr>
          <w:rFonts w:ascii="仿宋" w:eastAsia="仿宋" w:hAnsi="仿宋" w:hint="eastAsia"/>
          <w:sz w:val="32"/>
          <w:szCs w:val="32"/>
        </w:rPr>
        <w:t>件，</w:t>
      </w:r>
      <w:proofErr w:type="gramStart"/>
      <w:r w:rsidR="00EC3D1D" w:rsidRPr="00D469A3">
        <w:rPr>
          <w:rFonts w:ascii="仿宋" w:eastAsia="仿宋" w:hAnsi="仿宋" w:hint="eastAsia"/>
          <w:sz w:val="32"/>
          <w:szCs w:val="32"/>
        </w:rPr>
        <w:t>速裁</w:t>
      </w:r>
      <w:r w:rsidR="00545595">
        <w:rPr>
          <w:rFonts w:ascii="仿宋" w:eastAsia="仿宋" w:hAnsi="仿宋" w:hint="eastAsia"/>
          <w:sz w:val="32"/>
          <w:szCs w:val="32"/>
        </w:rPr>
        <w:t>3</w:t>
      </w:r>
      <w:r w:rsidR="00EC3D1D" w:rsidRPr="00D469A3">
        <w:rPr>
          <w:rFonts w:ascii="仿宋" w:eastAsia="仿宋" w:hAnsi="仿宋" w:hint="eastAsia"/>
          <w:sz w:val="32"/>
          <w:szCs w:val="32"/>
        </w:rPr>
        <w:t>件</w:t>
      </w:r>
      <w:proofErr w:type="gramEnd"/>
      <w:r w:rsidR="00EC3D1D" w:rsidRPr="00D469A3">
        <w:rPr>
          <w:rFonts w:ascii="仿宋" w:eastAsia="仿宋" w:hAnsi="仿宋" w:hint="eastAsia"/>
          <w:sz w:val="32"/>
          <w:szCs w:val="32"/>
        </w:rPr>
        <w:t>，民事案件适用简易程序</w:t>
      </w:r>
      <w:r w:rsidR="00545595">
        <w:rPr>
          <w:rFonts w:ascii="仿宋" w:eastAsia="仿宋" w:hAnsi="仿宋" w:hint="eastAsia"/>
          <w:sz w:val="32"/>
          <w:szCs w:val="32"/>
        </w:rPr>
        <w:t>11</w:t>
      </w:r>
      <w:r w:rsidR="00EC3D1D" w:rsidRPr="00D469A3">
        <w:rPr>
          <w:rFonts w:ascii="仿宋" w:eastAsia="仿宋" w:hAnsi="仿宋" w:hint="eastAsia"/>
          <w:sz w:val="32"/>
          <w:szCs w:val="32"/>
        </w:rPr>
        <w:t>件，简易程序适用率年度指标要求达到8</w:t>
      </w:r>
      <w:r w:rsidR="00545595">
        <w:rPr>
          <w:rFonts w:ascii="仿宋" w:eastAsia="仿宋" w:hAnsi="仿宋" w:hint="eastAsia"/>
          <w:sz w:val="32"/>
          <w:szCs w:val="32"/>
        </w:rPr>
        <w:t>8</w:t>
      </w:r>
      <w:r w:rsidR="00EC3D1D" w:rsidRPr="00D469A3">
        <w:rPr>
          <w:rFonts w:ascii="仿宋" w:eastAsia="仿宋" w:hAnsi="仿宋" w:hint="eastAsia"/>
          <w:sz w:val="32"/>
          <w:szCs w:val="32"/>
        </w:rPr>
        <w:t>%以上，我院</w:t>
      </w:r>
      <w:r>
        <w:rPr>
          <w:rFonts w:ascii="仿宋" w:eastAsia="仿宋" w:hAnsi="仿宋" w:hint="eastAsia"/>
          <w:sz w:val="32"/>
          <w:szCs w:val="32"/>
        </w:rPr>
        <w:t>2022年上半年</w:t>
      </w:r>
      <w:r w:rsidR="00EC3D1D" w:rsidRPr="00D469A3">
        <w:rPr>
          <w:rFonts w:ascii="仿宋" w:eastAsia="仿宋" w:hAnsi="仿宋" w:hint="eastAsia"/>
          <w:sz w:val="32"/>
          <w:szCs w:val="32"/>
        </w:rPr>
        <w:t>一审简易程序适用率</w:t>
      </w:r>
      <w:r w:rsidR="00545595">
        <w:rPr>
          <w:rFonts w:ascii="仿宋" w:eastAsia="仿宋" w:hAnsi="仿宋" w:hint="eastAsia"/>
          <w:sz w:val="32"/>
          <w:szCs w:val="32"/>
        </w:rPr>
        <w:t>88.24</w:t>
      </w:r>
      <w:r w:rsidR="00EC3D1D" w:rsidRPr="00D469A3">
        <w:rPr>
          <w:rFonts w:ascii="仿宋" w:eastAsia="仿宋" w:hAnsi="仿宋" w:hint="eastAsia"/>
          <w:sz w:val="32"/>
          <w:szCs w:val="32"/>
        </w:rPr>
        <w:t>%。</w:t>
      </w:r>
    </w:p>
    <w:p w:rsidR="002534E5" w:rsidRPr="00F80671" w:rsidRDefault="0045554F" w:rsidP="00E85FE2">
      <w:pPr>
        <w:spacing w:after="0" w:line="360" w:lineRule="auto"/>
        <w:ind w:firstLineChars="196" w:firstLine="630"/>
        <w:jc w:val="both"/>
        <w:rPr>
          <w:rFonts w:asciiTheme="majorEastAsia" w:eastAsiaTheme="majorEastAsia" w:hAnsiTheme="majorEastAsia"/>
          <w:b/>
          <w:sz w:val="32"/>
          <w:szCs w:val="32"/>
        </w:rPr>
      </w:pPr>
      <w:r w:rsidRPr="0045554F">
        <w:rPr>
          <w:rFonts w:asciiTheme="majorEastAsia" w:eastAsiaTheme="majorEastAsia" w:hAnsiTheme="majorEastAsia" w:hint="eastAsia"/>
          <w:b/>
          <w:sz w:val="32"/>
          <w:szCs w:val="32"/>
        </w:rPr>
        <w:t>（</w:t>
      </w:r>
      <w:r w:rsidR="00E147D2">
        <w:rPr>
          <w:rFonts w:asciiTheme="majorEastAsia" w:eastAsiaTheme="majorEastAsia" w:hAnsiTheme="majorEastAsia" w:hint="eastAsia"/>
          <w:b/>
          <w:sz w:val="32"/>
          <w:szCs w:val="32"/>
        </w:rPr>
        <w:t>七</w:t>
      </w:r>
      <w:r w:rsidR="00AE6944" w:rsidRPr="0045554F">
        <w:rPr>
          <w:rFonts w:asciiTheme="majorEastAsia" w:eastAsiaTheme="majorEastAsia" w:hAnsiTheme="majorEastAsia" w:hint="eastAsia"/>
          <w:b/>
          <w:sz w:val="32"/>
          <w:szCs w:val="32"/>
        </w:rPr>
        <w:t>）</w:t>
      </w:r>
      <w:r w:rsidR="002534E5" w:rsidRPr="00E85FE2">
        <w:rPr>
          <w:rFonts w:asciiTheme="majorEastAsia" w:eastAsiaTheme="majorEastAsia" w:hAnsiTheme="majorEastAsia"/>
          <w:b/>
          <w:sz w:val="32"/>
          <w:szCs w:val="32"/>
        </w:rPr>
        <w:t>院领导审执结案件数</w:t>
      </w:r>
      <w:r w:rsidR="002534E5" w:rsidRPr="00F80671">
        <w:rPr>
          <w:rFonts w:asciiTheme="majorEastAsia" w:eastAsiaTheme="majorEastAsia" w:hAnsiTheme="majorEastAsia" w:hint="eastAsia"/>
          <w:b/>
          <w:sz w:val="32"/>
          <w:szCs w:val="32"/>
        </w:rPr>
        <w:t>情况</w:t>
      </w:r>
    </w:p>
    <w:p w:rsidR="006F22F7" w:rsidRPr="00545595" w:rsidRDefault="002534E5" w:rsidP="00E85FE2">
      <w:pPr>
        <w:spacing w:after="0" w:line="360" w:lineRule="auto"/>
        <w:ind w:firstLineChars="196" w:firstLine="627"/>
        <w:jc w:val="both"/>
        <w:rPr>
          <w:rFonts w:ascii="Times New Roman" w:eastAsia="仿宋_GB2312" w:hAnsi="Times New Roman" w:cs="Times New Roman"/>
          <w:bCs/>
          <w:sz w:val="32"/>
          <w:szCs w:val="32"/>
        </w:rPr>
      </w:pPr>
      <w:r w:rsidRPr="00E85FE2">
        <w:rPr>
          <w:rFonts w:ascii="仿宋" w:eastAsia="仿宋" w:hAnsi="仿宋"/>
          <w:sz w:val="32"/>
          <w:szCs w:val="32"/>
        </w:rPr>
        <w:t>该项按年度进行考核，院长审执结案件数量指标应当不少于本院法官平均结案数量的5%；其</w:t>
      </w:r>
      <w:r w:rsidRPr="00E85FE2">
        <w:rPr>
          <w:rFonts w:ascii="仿宋" w:eastAsia="仿宋" w:hAnsi="仿宋" w:cs="Times New Roman"/>
          <w:bCs/>
          <w:sz w:val="32"/>
          <w:szCs w:val="32"/>
        </w:rPr>
        <w:t>他</w:t>
      </w:r>
      <w:r w:rsidRPr="00545595">
        <w:rPr>
          <w:rFonts w:ascii="Times New Roman" w:eastAsia="仿宋_GB2312" w:hAnsi="Times New Roman" w:cs="Times New Roman"/>
          <w:bCs/>
          <w:sz w:val="32"/>
          <w:szCs w:val="32"/>
        </w:rPr>
        <w:t>院领导平均审执结案件数量指标应当不少于本院法官平均结案数量的</w:t>
      </w:r>
      <w:r w:rsidRPr="00545595">
        <w:rPr>
          <w:rFonts w:ascii="Times New Roman" w:eastAsia="仿宋_GB2312" w:hAnsi="Times New Roman" w:cs="Times New Roman"/>
          <w:bCs/>
          <w:sz w:val="32"/>
          <w:szCs w:val="32"/>
        </w:rPr>
        <w:t>30%</w:t>
      </w:r>
      <w:r w:rsidRPr="00545595">
        <w:rPr>
          <w:rFonts w:ascii="仿宋" w:eastAsia="仿宋" w:hAnsi="仿宋" w:hint="eastAsia"/>
          <w:sz w:val="32"/>
          <w:szCs w:val="32"/>
        </w:rPr>
        <w:t>。</w:t>
      </w:r>
    </w:p>
    <w:p w:rsidR="0045416B" w:rsidRPr="002534E5" w:rsidRDefault="00AE6944" w:rsidP="0045416B">
      <w:pPr>
        <w:spacing w:after="0" w:line="360" w:lineRule="auto"/>
        <w:ind w:firstLineChars="200" w:firstLine="643"/>
        <w:jc w:val="both"/>
        <w:rPr>
          <w:rFonts w:asciiTheme="majorEastAsia" w:eastAsiaTheme="majorEastAsia" w:hAnsiTheme="majorEastAsia"/>
          <w:b/>
          <w:sz w:val="32"/>
          <w:szCs w:val="32"/>
        </w:rPr>
      </w:pPr>
      <w:r w:rsidRPr="00F80671">
        <w:rPr>
          <w:rFonts w:asciiTheme="majorEastAsia" w:eastAsiaTheme="majorEastAsia" w:hAnsiTheme="majorEastAsia" w:hint="eastAsia"/>
          <w:b/>
          <w:sz w:val="32"/>
          <w:szCs w:val="32"/>
        </w:rPr>
        <w:t>（</w:t>
      </w:r>
      <w:r w:rsidR="00E147D2">
        <w:rPr>
          <w:rFonts w:asciiTheme="majorEastAsia" w:eastAsiaTheme="majorEastAsia" w:hAnsiTheme="majorEastAsia" w:hint="eastAsia"/>
          <w:b/>
          <w:sz w:val="32"/>
          <w:szCs w:val="32"/>
        </w:rPr>
        <w:t>八</w:t>
      </w:r>
      <w:r w:rsidRPr="00F80671">
        <w:rPr>
          <w:rFonts w:asciiTheme="majorEastAsia" w:eastAsiaTheme="majorEastAsia" w:hAnsiTheme="majorEastAsia" w:hint="eastAsia"/>
          <w:b/>
          <w:sz w:val="32"/>
          <w:szCs w:val="32"/>
        </w:rPr>
        <w:t>）</w:t>
      </w:r>
      <w:r w:rsidR="0045416B" w:rsidRPr="0074089E">
        <w:rPr>
          <w:rFonts w:asciiTheme="minorEastAsia" w:eastAsiaTheme="minorEastAsia" w:hAnsiTheme="minorEastAsia" w:hint="eastAsia"/>
          <w:b/>
          <w:color w:val="000000" w:themeColor="text1"/>
          <w:sz w:val="32"/>
          <w:szCs w:val="32"/>
        </w:rPr>
        <w:t>卷宗归档率情况</w:t>
      </w:r>
    </w:p>
    <w:p w:rsidR="00AB6AA3" w:rsidRPr="00B13C93" w:rsidRDefault="00694C68" w:rsidP="00B13C93">
      <w:pPr>
        <w:spacing w:after="0" w:line="360" w:lineRule="auto"/>
        <w:ind w:firstLineChars="200" w:firstLine="640"/>
        <w:jc w:val="both"/>
        <w:rPr>
          <w:rFonts w:asciiTheme="majorEastAsia" w:eastAsiaTheme="majorEastAsia" w:hAnsiTheme="majorEastAsia"/>
          <w:b/>
          <w:sz w:val="32"/>
          <w:szCs w:val="32"/>
        </w:rPr>
      </w:pPr>
      <w:r>
        <w:rPr>
          <w:rFonts w:ascii="仿宋" w:eastAsia="仿宋" w:hAnsi="仿宋" w:hint="eastAsia"/>
          <w:color w:val="000000" w:themeColor="text1"/>
          <w:sz w:val="32"/>
          <w:szCs w:val="32"/>
        </w:rPr>
        <w:t>2022年</w:t>
      </w:r>
      <w:r w:rsidR="00545595">
        <w:rPr>
          <w:rFonts w:ascii="仿宋" w:eastAsia="仿宋" w:hAnsi="仿宋" w:hint="eastAsia"/>
          <w:color w:val="000000" w:themeColor="text1"/>
          <w:sz w:val="32"/>
          <w:szCs w:val="32"/>
        </w:rPr>
        <w:t>1-</w:t>
      </w:r>
      <w:r w:rsidR="00B13C93">
        <w:rPr>
          <w:rFonts w:ascii="仿宋" w:eastAsia="仿宋" w:hAnsi="仿宋" w:hint="eastAsia"/>
          <w:color w:val="000000" w:themeColor="text1"/>
          <w:sz w:val="32"/>
          <w:szCs w:val="32"/>
        </w:rPr>
        <w:t>6</w:t>
      </w:r>
      <w:r w:rsidR="00545595">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年</w:t>
      </w:r>
      <w:r w:rsidR="00AB6AA3" w:rsidRPr="00D67444">
        <w:rPr>
          <w:rFonts w:ascii="仿宋" w:eastAsia="仿宋" w:hAnsi="仿宋" w:hint="eastAsia"/>
          <w:color w:val="000000" w:themeColor="text1"/>
          <w:sz w:val="32"/>
          <w:szCs w:val="32"/>
        </w:rPr>
        <w:t>结案</w:t>
      </w:r>
      <w:r w:rsidR="00B13C93">
        <w:rPr>
          <w:rFonts w:ascii="仿宋" w:eastAsia="仿宋" w:hAnsi="仿宋" w:hint="eastAsia"/>
          <w:color w:val="000000" w:themeColor="text1"/>
          <w:sz w:val="32"/>
          <w:szCs w:val="32"/>
        </w:rPr>
        <w:t>23</w:t>
      </w:r>
      <w:r w:rsidR="00AB6AA3" w:rsidRPr="00D67444">
        <w:rPr>
          <w:rFonts w:ascii="仿宋" w:eastAsia="仿宋" w:hAnsi="仿宋" w:hint="eastAsia"/>
          <w:color w:val="000000" w:themeColor="text1"/>
          <w:sz w:val="32"/>
          <w:szCs w:val="32"/>
        </w:rPr>
        <w:t>件</w:t>
      </w:r>
      <w:r w:rsidR="00B13C93">
        <w:rPr>
          <w:rFonts w:ascii="仿宋" w:eastAsia="仿宋" w:hAnsi="仿宋" w:hint="eastAsia"/>
          <w:color w:val="000000" w:themeColor="text1"/>
          <w:sz w:val="32"/>
          <w:szCs w:val="32"/>
        </w:rPr>
        <w:t>（刑事5件、民事13件、司法辅助5件）</w:t>
      </w:r>
      <w:r w:rsidR="00AB6AA3" w:rsidRPr="00D67444">
        <w:rPr>
          <w:rFonts w:ascii="仿宋" w:eastAsia="仿宋" w:hAnsi="仿宋" w:hint="eastAsia"/>
          <w:color w:val="000000" w:themeColor="text1"/>
          <w:sz w:val="32"/>
          <w:szCs w:val="32"/>
        </w:rPr>
        <w:t>，归档</w:t>
      </w:r>
      <w:r w:rsidR="00B13C93">
        <w:rPr>
          <w:rFonts w:ascii="仿宋" w:eastAsia="仿宋" w:hAnsi="仿宋" w:hint="eastAsia"/>
          <w:color w:val="000000" w:themeColor="text1"/>
          <w:sz w:val="32"/>
          <w:szCs w:val="32"/>
        </w:rPr>
        <w:t>22</w:t>
      </w:r>
      <w:r w:rsidR="00AB6AA3" w:rsidRPr="00D67444">
        <w:rPr>
          <w:rFonts w:ascii="仿宋" w:eastAsia="仿宋" w:hAnsi="仿宋" w:hint="eastAsia"/>
          <w:color w:val="000000" w:themeColor="text1"/>
          <w:sz w:val="32"/>
          <w:szCs w:val="32"/>
        </w:rPr>
        <w:t>件，</w:t>
      </w:r>
      <w:r w:rsidR="00B13C93">
        <w:rPr>
          <w:rFonts w:ascii="仿宋" w:eastAsia="仿宋" w:hAnsi="仿宋" w:hint="eastAsia"/>
          <w:color w:val="000000" w:themeColor="text1"/>
          <w:sz w:val="32"/>
          <w:szCs w:val="32"/>
        </w:rPr>
        <w:t>一件未归档案件为刑事案件，6月24日结案，截止到统计日期6月30日还未生效，</w:t>
      </w:r>
      <w:r w:rsidR="00AB6AA3" w:rsidRPr="00D67444">
        <w:rPr>
          <w:rFonts w:ascii="仿宋" w:eastAsia="仿宋" w:hAnsi="仿宋" w:hint="eastAsia"/>
          <w:color w:val="000000" w:themeColor="text1"/>
          <w:sz w:val="32"/>
          <w:szCs w:val="32"/>
        </w:rPr>
        <w:t>归档率</w:t>
      </w:r>
      <w:r w:rsidR="00B13C93">
        <w:rPr>
          <w:rFonts w:ascii="仿宋" w:eastAsia="仿宋" w:hAnsi="仿宋" w:hint="eastAsia"/>
          <w:color w:val="000000" w:themeColor="text1"/>
          <w:sz w:val="32"/>
          <w:szCs w:val="32"/>
        </w:rPr>
        <w:t>95.65</w:t>
      </w:r>
      <w:r w:rsidR="00AB6AA3" w:rsidRPr="00D67444">
        <w:rPr>
          <w:rFonts w:ascii="仿宋" w:eastAsia="仿宋" w:hAnsi="仿宋" w:hint="eastAsia"/>
          <w:color w:val="000000" w:themeColor="text1"/>
          <w:sz w:val="32"/>
          <w:szCs w:val="32"/>
        </w:rPr>
        <w:t>%</w:t>
      </w:r>
      <w:r w:rsidR="00D67444">
        <w:rPr>
          <w:rFonts w:ascii="仿宋" w:eastAsia="仿宋" w:hAnsi="仿宋" w:hint="eastAsia"/>
          <w:color w:val="000000" w:themeColor="text1"/>
          <w:sz w:val="32"/>
          <w:szCs w:val="32"/>
        </w:rPr>
        <w:t>，</w:t>
      </w:r>
      <w:r w:rsidR="00545595">
        <w:rPr>
          <w:rFonts w:ascii="仿宋" w:eastAsia="仿宋" w:hAnsi="仿宋" w:hint="eastAsia"/>
          <w:sz w:val="32"/>
          <w:szCs w:val="32"/>
        </w:rPr>
        <w:t>无超期未归档案件</w:t>
      </w:r>
      <w:r w:rsidR="00AB6AA3" w:rsidRPr="00D67444">
        <w:rPr>
          <w:rFonts w:ascii="仿宋" w:eastAsia="仿宋" w:hAnsi="仿宋" w:hint="eastAsia"/>
          <w:color w:val="000000" w:themeColor="text1"/>
          <w:sz w:val="32"/>
          <w:szCs w:val="32"/>
        </w:rPr>
        <w:t>。</w:t>
      </w:r>
    </w:p>
    <w:p w:rsidR="002534E5" w:rsidRDefault="002534E5" w:rsidP="002534E5">
      <w:pPr>
        <w:spacing w:after="0" w:line="360" w:lineRule="auto"/>
        <w:ind w:firstLineChars="200" w:firstLine="643"/>
        <w:jc w:val="both"/>
        <w:rPr>
          <w:rFonts w:asciiTheme="majorEastAsia" w:eastAsiaTheme="majorEastAsia" w:hAnsiTheme="majorEastAsia"/>
          <w:b/>
          <w:sz w:val="32"/>
          <w:szCs w:val="32"/>
        </w:rPr>
      </w:pPr>
      <w:r>
        <w:rPr>
          <w:rFonts w:asciiTheme="majorEastAsia" w:eastAsiaTheme="majorEastAsia" w:hAnsiTheme="majorEastAsia"/>
          <w:b/>
          <w:sz w:val="32"/>
          <w:szCs w:val="32"/>
        </w:rPr>
        <w:t>（九）</w:t>
      </w:r>
      <w:r w:rsidR="0045416B" w:rsidRPr="0045416B">
        <w:rPr>
          <w:rFonts w:asciiTheme="majorEastAsia" w:eastAsiaTheme="majorEastAsia" w:hAnsiTheme="majorEastAsia"/>
          <w:b/>
          <w:sz w:val="32"/>
          <w:szCs w:val="32"/>
        </w:rPr>
        <w:t>院庭长审判监督管理情况</w:t>
      </w:r>
    </w:p>
    <w:p w:rsidR="0045416B" w:rsidRPr="00B13C93" w:rsidRDefault="00545595" w:rsidP="00B13C93">
      <w:pPr>
        <w:spacing w:after="0" w:line="360" w:lineRule="auto"/>
        <w:ind w:firstLineChars="200" w:firstLine="640"/>
        <w:jc w:val="both"/>
        <w:rPr>
          <w:rFonts w:ascii="仿宋" w:eastAsia="仿宋" w:hAnsi="仿宋"/>
          <w:sz w:val="32"/>
          <w:szCs w:val="32"/>
        </w:rPr>
      </w:pPr>
      <w:r w:rsidRPr="00B13C93">
        <w:rPr>
          <w:rFonts w:ascii="仿宋" w:eastAsia="仿宋" w:hAnsi="仿宋" w:hint="eastAsia"/>
          <w:sz w:val="32"/>
          <w:szCs w:val="32"/>
        </w:rPr>
        <w:t>2022年上半年监管案件2件，确认监管案件2件，不予监管0件，</w:t>
      </w:r>
      <w:r w:rsidR="00B13C93" w:rsidRPr="00B13C93">
        <w:rPr>
          <w:rFonts w:ascii="仿宋" w:eastAsia="仿宋" w:hAnsi="仿宋" w:hint="eastAsia"/>
          <w:sz w:val="32"/>
          <w:szCs w:val="32"/>
        </w:rPr>
        <w:t>确认监管率100.00%</w:t>
      </w:r>
      <w:r w:rsidR="00B13C93">
        <w:rPr>
          <w:rFonts w:ascii="仿宋" w:eastAsia="仿宋" w:hAnsi="仿宋"/>
          <w:sz w:val="32"/>
          <w:szCs w:val="32"/>
        </w:rPr>
        <w:t>、</w:t>
      </w:r>
      <w:r w:rsidR="00024996" w:rsidRPr="00B13C93">
        <w:rPr>
          <w:rFonts w:ascii="仿宋" w:eastAsia="仿宋" w:hAnsi="仿宋" w:hint="eastAsia"/>
          <w:sz w:val="32"/>
          <w:szCs w:val="32"/>
        </w:rPr>
        <w:t>实际监管率100%</w:t>
      </w:r>
      <w:r w:rsidR="0045416B" w:rsidRPr="00B13C93">
        <w:rPr>
          <w:rFonts w:ascii="仿宋" w:eastAsia="仿宋" w:hAnsi="仿宋"/>
          <w:sz w:val="32"/>
          <w:szCs w:val="32"/>
        </w:rPr>
        <w:t>。</w:t>
      </w:r>
    </w:p>
    <w:p w:rsidR="00F80671" w:rsidRPr="000D06D6" w:rsidRDefault="00F80671" w:rsidP="008F3845">
      <w:pPr>
        <w:spacing w:after="0" w:line="360" w:lineRule="auto"/>
        <w:ind w:firstLineChars="200" w:firstLine="640"/>
        <w:jc w:val="both"/>
        <w:rPr>
          <w:rFonts w:ascii="黑体" w:eastAsia="黑体" w:hAnsi="黑体"/>
          <w:sz w:val="32"/>
          <w:szCs w:val="32"/>
        </w:rPr>
      </w:pPr>
      <w:r w:rsidRPr="00F80671">
        <w:rPr>
          <w:rFonts w:ascii="黑体" w:eastAsia="黑体" w:hAnsi="黑体" w:hint="eastAsia"/>
          <w:sz w:val="32"/>
          <w:szCs w:val="32"/>
        </w:rPr>
        <w:t>二、审</w:t>
      </w:r>
      <w:r w:rsidRPr="000D06D6">
        <w:rPr>
          <w:rFonts w:ascii="黑体" w:eastAsia="黑体" w:hAnsi="黑体" w:hint="eastAsia"/>
          <w:sz w:val="32"/>
          <w:szCs w:val="32"/>
        </w:rPr>
        <w:t>判质量</w:t>
      </w:r>
    </w:p>
    <w:p w:rsidR="00B03DEE" w:rsidRPr="000D06D6" w:rsidRDefault="0045416B" w:rsidP="00B03DEE">
      <w:pPr>
        <w:spacing w:after="0" w:line="360" w:lineRule="auto"/>
        <w:ind w:firstLineChars="200" w:firstLine="643"/>
        <w:jc w:val="both"/>
        <w:rPr>
          <w:rFonts w:asciiTheme="majorEastAsia" w:eastAsiaTheme="majorEastAsia" w:hAnsiTheme="majorEastAsia"/>
          <w:b/>
          <w:sz w:val="32"/>
          <w:szCs w:val="32"/>
        </w:rPr>
      </w:pPr>
      <w:r w:rsidRPr="002534E5">
        <w:rPr>
          <w:rFonts w:asciiTheme="majorEastAsia" w:eastAsiaTheme="majorEastAsia" w:hAnsiTheme="majorEastAsia" w:hint="eastAsia"/>
          <w:b/>
          <w:sz w:val="32"/>
          <w:szCs w:val="32"/>
        </w:rPr>
        <w:lastRenderedPageBreak/>
        <w:t>（十）</w:t>
      </w:r>
      <w:r w:rsidR="00B03DEE" w:rsidRPr="000D06D6">
        <w:rPr>
          <w:rFonts w:asciiTheme="majorEastAsia" w:eastAsiaTheme="majorEastAsia" w:hAnsiTheme="majorEastAsia" w:hint="eastAsia"/>
          <w:b/>
          <w:sz w:val="32"/>
          <w:szCs w:val="32"/>
        </w:rPr>
        <w:t>服判息诉率情况</w:t>
      </w:r>
    </w:p>
    <w:p w:rsidR="0045416B" w:rsidRPr="00B03DEE" w:rsidRDefault="00694C68" w:rsidP="00B03DEE">
      <w:pPr>
        <w:spacing w:after="0" w:line="360" w:lineRule="auto"/>
        <w:ind w:firstLineChars="250" w:firstLine="800"/>
        <w:jc w:val="both"/>
        <w:rPr>
          <w:rFonts w:ascii="仿宋" w:eastAsia="仿宋" w:hAnsi="仿宋"/>
          <w:sz w:val="32"/>
          <w:szCs w:val="32"/>
        </w:rPr>
      </w:pPr>
      <w:r>
        <w:rPr>
          <w:rFonts w:ascii="仿宋" w:eastAsia="仿宋" w:hAnsi="仿宋" w:hint="eastAsia"/>
          <w:sz w:val="32"/>
          <w:szCs w:val="32"/>
        </w:rPr>
        <w:t>2022年上半年</w:t>
      </w:r>
      <w:r w:rsidR="00545595">
        <w:rPr>
          <w:rFonts w:ascii="仿宋" w:eastAsia="仿宋" w:hAnsi="仿宋" w:hint="eastAsia"/>
          <w:sz w:val="32"/>
          <w:szCs w:val="32"/>
        </w:rPr>
        <w:t>二审收案3件，</w:t>
      </w:r>
      <w:r w:rsidR="00B03DEE" w:rsidRPr="000D06D6">
        <w:rPr>
          <w:rFonts w:ascii="仿宋" w:eastAsia="仿宋" w:hAnsi="仿宋" w:hint="eastAsia"/>
          <w:sz w:val="32"/>
          <w:szCs w:val="32"/>
        </w:rPr>
        <w:t>一审案件服判息诉率</w:t>
      </w:r>
      <w:r w:rsidR="00545595">
        <w:rPr>
          <w:rFonts w:ascii="仿宋" w:eastAsia="仿宋" w:hAnsi="仿宋" w:hint="eastAsia"/>
          <w:sz w:val="32"/>
          <w:szCs w:val="32"/>
        </w:rPr>
        <w:t>82.35</w:t>
      </w:r>
      <w:r w:rsidR="001D4289">
        <w:rPr>
          <w:rFonts w:ascii="仿宋" w:eastAsia="仿宋" w:hAnsi="仿宋" w:hint="eastAsia"/>
          <w:sz w:val="32"/>
          <w:szCs w:val="32"/>
        </w:rPr>
        <w:t>%</w:t>
      </w:r>
      <w:r w:rsidR="00B03DEE" w:rsidRPr="000D06D6">
        <w:rPr>
          <w:rFonts w:ascii="仿宋" w:eastAsia="仿宋" w:hAnsi="仿宋" w:hint="eastAsia"/>
          <w:sz w:val="32"/>
          <w:szCs w:val="32"/>
        </w:rPr>
        <w:t>，</w:t>
      </w:r>
      <w:r w:rsidR="00B13C93">
        <w:rPr>
          <w:rFonts w:ascii="仿宋" w:eastAsia="仿宋" w:hAnsi="仿宋" w:hint="eastAsia"/>
          <w:sz w:val="32"/>
          <w:szCs w:val="32"/>
        </w:rPr>
        <w:t>低于全省均值，</w:t>
      </w:r>
      <w:r w:rsidR="00B03DEE">
        <w:rPr>
          <w:rFonts w:ascii="仿宋" w:eastAsia="仿宋" w:hAnsi="仿宋" w:hint="eastAsia"/>
          <w:sz w:val="32"/>
          <w:szCs w:val="32"/>
        </w:rPr>
        <w:t>该项指标按年度考核</w:t>
      </w:r>
      <w:r w:rsidR="00B03DEE">
        <w:rPr>
          <w:rFonts w:ascii="Times New Roman" w:eastAsia="仿宋_GB2312" w:hAnsi="Times New Roman" w:cs="Times New Roman"/>
          <w:kern w:val="21"/>
          <w:sz w:val="32"/>
          <w:szCs w:val="32"/>
        </w:rPr>
        <w:t>，基础比率设定为</w:t>
      </w:r>
      <w:r w:rsidR="00B03DEE">
        <w:rPr>
          <w:rFonts w:ascii="Times New Roman" w:eastAsia="仿宋_GB2312" w:hAnsi="Times New Roman" w:cs="Times New Roman"/>
          <w:kern w:val="21"/>
          <w:sz w:val="32"/>
          <w:szCs w:val="32"/>
        </w:rPr>
        <w:t>9</w:t>
      </w:r>
      <w:r w:rsidR="00545595">
        <w:rPr>
          <w:rFonts w:ascii="Times New Roman" w:eastAsia="仿宋_GB2312" w:hAnsi="Times New Roman" w:cs="Times New Roman" w:hint="eastAsia"/>
          <w:kern w:val="21"/>
          <w:sz w:val="32"/>
          <w:szCs w:val="32"/>
        </w:rPr>
        <w:t>2</w:t>
      </w:r>
      <w:r w:rsidR="00B03DEE">
        <w:rPr>
          <w:rFonts w:ascii="Times New Roman" w:eastAsia="仿宋_GB2312" w:hAnsi="Times New Roman" w:cs="Times New Roman"/>
          <w:kern w:val="21"/>
          <w:sz w:val="32"/>
          <w:szCs w:val="32"/>
        </w:rPr>
        <w:t>%</w:t>
      </w:r>
      <w:r w:rsidR="00B03DEE" w:rsidRPr="000D06D6">
        <w:rPr>
          <w:rFonts w:ascii="仿宋" w:eastAsia="仿宋" w:hAnsi="仿宋" w:hint="eastAsia"/>
          <w:sz w:val="32"/>
          <w:szCs w:val="32"/>
        </w:rPr>
        <w:t>。</w:t>
      </w:r>
      <w:r w:rsidR="00B13C93">
        <w:rPr>
          <w:rFonts w:ascii="仿宋" w:eastAsia="仿宋" w:hAnsi="仿宋" w:hint="eastAsia"/>
          <w:sz w:val="32"/>
          <w:szCs w:val="32"/>
        </w:rPr>
        <w:t>由于案件数量少，有上诉案件就会导致占比高，造成服判息诉率偏低，下一步将从加强庭审质量和裁判文书说理上下大力气，强化辨法析理和判后答疑工作。</w:t>
      </w:r>
    </w:p>
    <w:p w:rsidR="006F22F7" w:rsidRPr="00655595" w:rsidRDefault="00AE6944" w:rsidP="00B03DEE">
      <w:pPr>
        <w:spacing w:after="0" w:line="360" w:lineRule="auto"/>
        <w:ind w:firstLineChars="200" w:firstLine="643"/>
        <w:jc w:val="both"/>
        <w:rPr>
          <w:rFonts w:asciiTheme="majorEastAsia" w:eastAsiaTheme="majorEastAsia" w:hAnsiTheme="majorEastAsia"/>
          <w:b/>
          <w:sz w:val="32"/>
          <w:szCs w:val="32"/>
        </w:rPr>
      </w:pPr>
      <w:r w:rsidRPr="00655595">
        <w:rPr>
          <w:rFonts w:asciiTheme="majorEastAsia" w:eastAsiaTheme="majorEastAsia" w:hAnsiTheme="majorEastAsia" w:hint="eastAsia"/>
          <w:b/>
          <w:sz w:val="32"/>
          <w:szCs w:val="32"/>
        </w:rPr>
        <w:t>（</w:t>
      </w:r>
      <w:r w:rsidR="000725B7" w:rsidRPr="00655595">
        <w:rPr>
          <w:rFonts w:asciiTheme="majorEastAsia" w:eastAsiaTheme="majorEastAsia" w:hAnsiTheme="majorEastAsia" w:hint="eastAsia"/>
          <w:b/>
          <w:sz w:val="32"/>
          <w:szCs w:val="32"/>
        </w:rPr>
        <w:t>十一</w:t>
      </w:r>
      <w:r w:rsidRPr="00655595">
        <w:rPr>
          <w:rFonts w:asciiTheme="majorEastAsia" w:eastAsiaTheme="majorEastAsia" w:hAnsiTheme="majorEastAsia" w:hint="eastAsia"/>
          <w:b/>
          <w:sz w:val="32"/>
          <w:szCs w:val="32"/>
        </w:rPr>
        <w:t>）</w:t>
      </w:r>
      <w:r w:rsidR="00B03DEE" w:rsidRPr="00655595">
        <w:rPr>
          <w:rFonts w:asciiTheme="majorEastAsia" w:eastAsiaTheme="majorEastAsia" w:hAnsiTheme="majorEastAsia"/>
          <w:b/>
          <w:sz w:val="32"/>
          <w:szCs w:val="32"/>
        </w:rPr>
        <w:t>生效案件服判息诉情况</w:t>
      </w:r>
    </w:p>
    <w:p w:rsidR="00B03DEE" w:rsidRPr="00655595" w:rsidRDefault="00694C68" w:rsidP="00B03DEE">
      <w:pPr>
        <w:spacing w:after="0" w:line="360" w:lineRule="auto"/>
        <w:ind w:firstLineChars="200" w:firstLine="640"/>
        <w:jc w:val="both"/>
        <w:rPr>
          <w:rFonts w:ascii="仿宋" w:eastAsia="仿宋" w:hAnsi="仿宋"/>
          <w:sz w:val="32"/>
          <w:szCs w:val="32"/>
        </w:rPr>
      </w:pPr>
      <w:r w:rsidRPr="00655595">
        <w:rPr>
          <w:rFonts w:ascii="仿宋" w:eastAsia="仿宋" w:hAnsi="仿宋" w:hint="eastAsia"/>
          <w:sz w:val="32"/>
          <w:szCs w:val="32"/>
        </w:rPr>
        <w:t>2022年上半年</w:t>
      </w:r>
      <w:r w:rsidR="001D4289" w:rsidRPr="00655595">
        <w:rPr>
          <w:rFonts w:ascii="仿宋" w:eastAsia="仿宋" w:hAnsi="仿宋" w:hint="eastAsia"/>
          <w:sz w:val="32"/>
          <w:szCs w:val="32"/>
        </w:rPr>
        <w:t>生效案件</w:t>
      </w:r>
      <w:r w:rsidR="00655595">
        <w:rPr>
          <w:rFonts w:ascii="仿宋" w:eastAsia="仿宋" w:hAnsi="仿宋" w:hint="eastAsia"/>
          <w:sz w:val="32"/>
          <w:szCs w:val="32"/>
        </w:rPr>
        <w:t>14</w:t>
      </w:r>
      <w:r w:rsidR="001D4289" w:rsidRPr="00655595">
        <w:rPr>
          <w:rFonts w:ascii="仿宋" w:eastAsia="仿宋" w:hAnsi="仿宋" w:hint="eastAsia"/>
          <w:sz w:val="32"/>
          <w:szCs w:val="32"/>
        </w:rPr>
        <w:t>件，</w:t>
      </w:r>
      <w:proofErr w:type="gramStart"/>
      <w:r w:rsidR="003B5251">
        <w:rPr>
          <w:rFonts w:ascii="仿宋" w:eastAsia="仿宋" w:hAnsi="仿宋" w:hint="eastAsia"/>
          <w:sz w:val="32"/>
          <w:szCs w:val="32"/>
        </w:rPr>
        <w:t>无</w:t>
      </w:r>
      <w:r w:rsidR="001D4289" w:rsidRPr="00655595">
        <w:rPr>
          <w:rFonts w:ascii="仿宋" w:eastAsia="仿宋" w:hAnsi="仿宋" w:hint="eastAsia"/>
          <w:sz w:val="32"/>
          <w:szCs w:val="32"/>
        </w:rPr>
        <w:t>申请</w:t>
      </w:r>
      <w:proofErr w:type="gramEnd"/>
      <w:r w:rsidR="001D4289" w:rsidRPr="00655595">
        <w:rPr>
          <w:rFonts w:ascii="仿宋" w:eastAsia="仿宋" w:hAnsi="仿宋" w:hint="eastAsia"/>
          <w:sz w:val="32"/>
          <w:szCs w:val="32"/>
        </w:rPr>
        <w:t>再审、申诉案件，</w:t>
      </w:r>
      <w:r w:rsidR="00B03DEE" w:rsidRPr="00655595">
        <w:rPr>
          <w:rFonts w:ascii="仿宋" w:eastAsia="仿宋" w:hAnsi="仿宋" w:hint="eastAsia"/>
          <w:sz w:val="32"/>
          <w:szCs w:val="32"/>
        </w:rPr>
        <w:t>生效案件服判息诉率</w:t>
      </w:r>
      <w:r w:rsidR="00655595">
        <w:rPr>
          <w:rFonts w:ascii="仿宋" w:eastAsia="仿宋" w:hAnsi="仿宋" w:hint="eastAsia"/>
          <w:sz w:val="32"/>
          <w:szCs w:val="32"/>
        </w:rPr>
        <w:t>100.00</w:t>
      </w:r>
      <w:r w:rsidR="00B03DEE" w:rsidRPr="00655595">
        <w:rPr>
          <w:rFonts w:ascii="仿宋" w:eastAsia="仿宋" w:hAnsi="仿宋" w:hint="eastAsia"/>
          <w:sz w:val="32"/>
          <w:szCs w:val="32"/>
        </w:rPr>
        <w:t>%。</w:t>
      </w:r>
    </w:p>
    <w:p w:rsidR="006F22F7" w:rsidRPr="00F80671" w:rsidRDefault="00AE6944" w:rsidP="00F80671">
      <w:pPr>
        <w:spacing w:after="0" w:line="360" w:lineRule="auto"/>
        <w:ind w:firstLineChars="200" w:firstLine="643"/>
        <w:jc w:val="both"/>
        <w:rPr>
          <w:rFonts w:asciiTheme="majorEastAsia" w:eastAsiaTheme="majorEastAsia" w:hAnsiTheme="majorEastAsia"/>
          <w:b/>
          <w:sz w:val="32"/>
          <w:szCs w:val="32"/>
        </w:rPr>
      </w:pPr>
      <w:r w:rsidRPr="00F80671">
        <w:rPr>
          <w:rFonts w:asciiTheme="majorEastAsia" w:eastAsiaTheme="majorEastAsia" w:hAnsiTheme="majorEastAsia" w:hint="eastAsia"/>
          <w:b/>
          <w:sz w:val="32"/>
          <w:szCs w:val="32"/>
        </w:rPr>
        <w:t>（</w:t>
      </w:r>
      <w:r w:rsidR="000725B7">
        <w:rPr>
          <w:rFonts w:asciiTheme="majorEastAsia" w:eastAsiaTheme="majorEastAsia" w:hAnsiTheme="majorEastAsia" w:hint="eastAsia"/>
          <w:b/>
          <w:sz w:val="32"/>
          <w:szCs w:val="32"/>
        </w:rPr>
        <w:t>十二</w:t>
      </w:r>
      <w:r w:rsidRPr="00F80671">
        <w:rPr>
          <w:rFonts w:asciiTheme="majorEastAsia" w:eastAsiaTheme="majorEastAsia" w:hAnsiTheme="majorEastAsia" w:hint="eastAsia"/>
          <w:b/>
          <w:sz w:val="32"/>
          <w:szCs w:val="32"/>
        </w:rPr>
        <w:t>）</w:t>
      </w:r>
      <w:r w:rsidR="00694C68">
        <w:rPr>
          <w:rFonts w:asciiTheme="majorEastAsia" w:eastAsiaTheme="majorEastAsia" w:hAnsiTheme="majorEastAsia" w:hint="eastAsia"/>
          <w:b/>
          <w:sz w:val="32"/>
          <w:szCs w:val="32"/>
        </w:rPr>
        <w:t>2022年上半年</w:t>
      </w:r>
      <w:r w:rsidRPr="00F80671">
        <w:rPr>
          <w:rFonts w:asciiTheme="majorEastAsia" w:eastAsiaTheme="majorEastAsia" w:hAnsiTheme="majorEastAsia" w:hint="eastAsia"/>
          <w:b/>
          <w:sz w:val="32"/>
          <w:szCs w:val="32"/>
        </w:rPr>
        <w:t>一审案件上诉被改判、发回重审率情况</w:t>
      </w:r>
    </w:p>
    <w:p w:rsidR="006F22F7" w:rsidRDefault="00AE6944" w:rsidP="00B03921">
      <w:pPr>
        <w:spacing w:after="0" w:line="360" w:lineRule="auto"/>
        <w:ind w:firstLineChars="250" w:firstLine="800"/>
        <w:jc w:val="both"/>
        <w:rPr>
          <w:rFonts w:ascii="仿宋" w:eastAsia="仿宋" w:hAnsi="仿宋"/>
          <w:color w:val="FF0000"/>
          <w:sz w:val="32"/>
          <w:szCs w:val="32"/>
        </w:rPr>
      </w:pPr>
      <w:r>
        <w:rPr>
          <w:rFonts w:ascii="仿宋" w:eastAsia="仿宋" w:hAnsi="仿宋" w:hint="eastAsia"/>
          <w:sz w:val="32"/>
          <w:szCs w:val="32"/>
        </w:rPr>
        <w:t>一审</w:t>
      </w:r>
      <w:r w:rsidR="003B5251">
        <w:rPr>
          <w:rFonts w:ascii="仿宋" w:eastAsia="仿宋" w:hAnsi="仿宋" w:hint="eastAsia"/>
          <w:sz w:val="32"/>
          <w:szCs w:val="32"/>
        </w:rPr>
        <w:t>诉讼案件</w:t>
      </w:r>
      <w:r w:rsidR="00176463">
        <w:rPr>
          <w:rFonts w:ascii="仿宋" w:eastAsia="仿宋" w:hAnsi="仿宋" w:hint="eastAsia"/>
          <w:sz w:val="32"/>
          <w:szCs w:val="32"/>
        </w:rPr>
        <w:t>已结</w:t>
      </w:r>
      <w:r w:rsidR="00655595">
        <w:rPr>
          <w:rFonts w:ascii="仿宋" w:eastAsia="仿宋" w:hAnsi="仿宋" w:hint="eastAsia"/>
          <w:sz w:val="32"/>
          <w:szCs w:val="32"/>
        </w:rPr>
        <w:t>17</w:t>
      </w:r>
      <w:r w:rsidR="00CC3639">
        <w:rPr>
          <w:rFonts w:ascii="仿宋" w:eastAsia="仿宋" w:hAnsi="仿宋" w:hint="eastAsia"/>
          <w:sz w:val="32"/>
          <w:szCs w:val="32"/>
        </w:rPr>
        <w:t>件</w:t>
      </w:r>
      <w:r w:rsidR="003B5251">
        <w:rPr>
          <w:rFonts w:ascii="仿宋" w:eastAsia="仿宋" w:hAnsi="仿宋" w:hint="eastAsia"/>
          <w:sz w:val="32"/>
          <w:szCs w:val="32"/>
        </w:rPr>
        <w:t>（不包括</w:t>
      </w:r>
      <w:proofErr w:type="gramStart"/>
      <w:r w:rsidR="003B5251">
        <w:rPr>
          <w:rFonts w:ascii="仿宋" w:eastAsia="仿宋" w:hAnsi="仿宋" w:hint="eastAsia"/>
          <w:sz w:val="32"/>
          <w:szCs w:val="32"/>
        </w:rPr>
        <w:t>诉前调确和</w:t>
      </w:r>
      <w:proofErr w:type="gramEnd"/>
      <w:r w:rsidR="003B5251">
        <w:rPr>
          <w:rFonts w:ascii="仿宋" w:eastAsia="仿宋" w:hAnsi="仿宋" w:hint="eastAsia"/>
          <w:sz w:val="32"/>
          <w:szCs w:val="32"/>
        </w:rPr>
        <w:t>非诉保全案件）</w:t>
      </w:r>
      <w:r w:rsidR="00CC3639">
        <w:rPr>
          <w:rFonts w:ascii="仿宋" w:eastAsia="仿宋" w:hAnsi="仿宋" w:hint="eastAsia"/>
          <w:sz w:val="32"/>
          <w:szCs w:val="32"/>
        </w:rPr>
        <w:t>，</w:t>
      </w:r>
      <w:r w:rsidR="0020796D">
        <w:rPr>
          <w:rFonts w:ascii="仿宋" w:eastAsia="仿宋" w:hAnsi="仿宋" w:hint="eastAsia"/>
          <w:sz w:val="32"/>
          <w:szCs w:val="32"/>
        </w:rPr>
        <w:t>上诉</w:t>
      </w:r>
      <w:r w:rsidR="00A54E74">
        <w:rPr>
          <w:rFonts w:ascii="仿宋" w:eastAsia="仿宋" w:hAnsi="仿宋" w:hint="eastAsia"/>
          <w:sz w:val="32"/>
          <w:szCs w:val="32"/>
        </w:rPr>
        <w:t>2</w:t>
      </w:r>
      <w:r w:rsidR="0020796D">
        <w:rPr>
          <w:rFonts w:ascii="仿宋" w:eastAsia="仿宋" w:hAnsi="仿宋" w:hint="eastAsia"/>
          <w:sz w:val="32"/>
          <w:szCs w:val="32"/>
        </w:rPr>
        <w:t>件，</w:t>
      </w:r>
      <w:r w:rsidR="0020796D" w:rsidRPr="0020796D">
        <w:rPr>
          <w:rFonts w:ascii="仿宋" w:eastAsia="仿宋" w:hAnsi="仿宋" w:hint="eastAsia"/>
          <w:sz w:val="32"/>
          <w:szCs w:val="32"/>
        </w:rPr>
        <w:t>被</w:t>
      </w:r>
      <w:r w:rsidR="002E6E22">
        <w:rPr>
          <w:rFonts w:ascii="仿宋" w:eastAsia="仿宋" w:hAnsi="仿宋" w:hint="eastAsia"/>
          <w:sz w:val="32"/>
          <w:szCs w:val="32"/>
        </w:rPr>
        <w:t>二审</w:t>
      </w:r>
      <w:r w:rsidR="0020796D" w:rsidRPr="0020796D">
        <w:rPr>
          <w:rFonts w:ascii="仿宋" w:eastAsia="仿宋" w:hAnsi="仿宋" w:hint="eastAsia"/>
          <w:sz w:val="32"/>
          <w:szCs w:val="32"/>
        </w:rPr>
        <w:t>改判</w:t>
      </w:r>
      <w:r w:rsidR="00655595">
        <w:rPr>
          <w:rFonts w:ascii="仿宋" w:eastAsia="仿宋" w:hAnsi="仿宋" w:hint="eastAsia"/>
          <w:sz w:val="32"/>
          <w:szCs w:val="32"/>
        </w:rPr>
        <w:t>案件1件</w:t>
      </w:r>
      <w:r w:rsidR="00A54E74">
        <w:rPr>
          <w:rFonts w:ascii="仿宋" w:eastAsia="仿宋" w:hAnsi="仿宋" w:hint="eastAsia"/>
          <w:sz w:val="32"/>
          <w:szCs w:val="32"/>
        </w:rPr>
        <w:t>，一审案件上诉被改判、发回重审率</w:t>
      </w:r>
      <w:r w:rsidR="00655595">
        <w:rPr>
          <w:rFonts w:ascii="仿宋" w:eastAsia="仿宋" w:hAnsi="仿宋" w:hint="eastAsia"/>
          <w:sz w:val="32"/>
          <w:szCs w:val="32"/>
        </w:rPr>
        <w:t>5.88</w:t>
      </w:r>
      <w:r w:rsidR="00A54E74">
        <w:rPr>
          <w:rFonts w:ascii="仿宋" w:eastAsia="仿宋" w:hAnsi="仿宋" w:hint="eastAsia"/>
          <w:sz w:val="32"/>
          <w:szCs w:val="32"/>
        </w:rPr>
        <w:t>%</w:t>
      </w:r>
      <w:r w:rsidR="00655595">
        <w:rPr>
          <w:rFonts w:ascii="仿宋" w:eastAsia="仿宋" w:hAnsi="仿宋" w:hint="eastAsia"/>
          <w:sz w:val="32"/>
          <w:szCs w:val="32"/>
        </w:rPr>
        <w:t>，</w:t>
      </w:r>
      <w:r w:rsidR="00210006">
        <w:rPr>
          <w:rFonts w:ascii="仿宋" w:eastAsia="仿宋" w:hAnsi="仿宋" w:hint="eastAsia"/>
          <w:sz w:val="32"/>
          <w:szCs w:val="32"/>
        </w:rPr>
        <w:t>高于全省均值，</w:t>
      </w:r>
      <w:r w:rsidR="00655595" w:rsidRPr="009C653B">
        <w:rPr>
          <w:rFonts w:ascii="仿宋" w:eastAsia="仿宋" w:hAnsi="仿宋" w:hint="eastAsia"/>
          <w:sz w:val="32"/>
          <w:szCs w:val="32"/>
        </w:rPr>
        <w:t>年度</w:t>
      </w:r>
      <w:r w:rsidR="00655595" w:rsidRPr="009C653B">
        <w:rPr>
          <w:rFonts w:ascii="仿宋_GB2312" w:eastAsia="仿宋_GB2312" w:hAnsi="仿宋_GB2312" w:hint="eastAsia"/>
          <w:sz w:val="32"/>
        </w:rPr>
        <w:t>基础</w:t>
      </w:r>
      <w:proofErr w:type="gramStart"/>
      <w:r w:rsidR="00655595" w:rsidRPr="009C653B">
        <w:rPr>
          <w:rFonts w:ascii="仿宋_GB2312" w:eastAsia="仿宋_GB2312" w:hAnsi="仿宋_GB2312" w:hint="eastAsia"/>
          <w:sz w:val="32"/>
        </w:rPr>
        <w:t>发改率设定</w:t>
      </w:r>
      <w:proofErr w:type="gramEnd"/>
      <w:r w:rsidR="00655595" w:rsidRPr="009C653B">
        <w:rPr>
          <w:rFonts w:ascii="仿宋_GB2312" w:eastAsia="仿宋_GB2312" w:hAnsi="仿宋_GB2312" w:hint="eastAsia"/>
          <w:sz w:val="32"/>
        </w:rPr>
        <w:t>为</w:t>
      </w:r>
      <w:r w:rsidR="00655595">
        <w:rPr>
          <w:rFonts w:ascii="仿宋_GB2312" w:eastAsia="仿宋_GB2312" w:hAnsi="仿宋_GB2312" w:hint="eastAsia"/>
          <w:sz w:val="32"/>
        </w:rPr>
        <w:t>1.6</w:t>
      </w:r>
      <w:r w:rsidR="00655595" w:rsidRPr="009C653B">
        <w:rPr>
          <w:rFonts w:ascii="仿宋_GB2312" w:eastAsia="仿宋_GB2312" w:hAnsi="仿宋_GB2312" w:hint="eastAsia"/>
          <w:sz w:val="32"/>
        </w:rPr>
        <w:t>%</w:t>
      </w:r>
      <w:r>
        <w:rPr>
          <w:rFonts w:ascii="仿宋" w:eastAsia="仿宋" w:hAnsi="仿宋" w:hint="eastAsia"/>
          <w:sz w:val="32"/>
          <w:szCs w:val="32"/>
        </w:rPr>
        <w:t>。</w:t>
      </w:r>
      <w:r w:rsidR="00210006">
        <w:rPr>
          <w:rFonts w:ascii="仿宋" w:eastAsia="仿宋" w:hAnsi="仿宋" w:hint="eastAsia"/>
          <w:sz w:val="32"/>
          <w:szCs w:val="32"/>
        </w:rPr>
        <w:t>被改判案件为（2022）吉7505民初2号林业承包合同纠纷，被改判原因：认定事实错误。现该案正在评查。</w:t>
      </w:r>
    </w:p>
    <w:p w:rsidR="006F22F7" w:rsidRPr="00F80671" w:rsidRDefault="00AE6944" w:rsidP="00F80671">
      <w:pPr>
        <w:spacing w:after="0" w:line="360" w:lineRule="auto"/>
        <w:ind w:firstLineChars="200" w:firstLine="643"/>
        <w:jc w:val="both"/>
        <w:rPr>
          <w:rFonts w:asciiTheme="majorEastAsia" w:eastAsiaTheme="majorEastAsia" w:hAnsiTheme="majorEastAsia"/>
          <w:b/>
          <w:color w:val="FF0000"/>
          <w:sz w:val="28"/>
          <w:szCs w:val="28"/>
        </w:rPr>
      </w:pPr>
      <w:r w:rsidRPr="00F80671">
        <w:rPr>
          <w:rFonts w:asciiTheme="majorEastAsia" w:eastAsiaTheme="majorEastAsia" w:hAnsiTheme="majorEastAsia" w:hint="eastAsia"/>
          <w:b/>
          <w:sz w:val="32"/>
          <w:szCs w:val="32"/>
        </w:rPr>
        <w:t>（</w:t>
      </w:r>
      <w:r w:rsidR="000725B7">
        <w:rPr>
          <w:rFonts w:asciiTheme="majorEastAsia" w:eastAsiaTheme="majorEastAsia" w:hAnsiTheme="majorEastAsia" w:hint="eastAsia"/>
          <w:b/>
          <w:sz w:val="32"/>
          <w:szCs w:val="32"/>
        </w:rPr>
        <w:t>十三</w:t>
      </w:r>
      <w:r w:rsidRPr="00F80671">
        <w:rPr>
          <w:rFonts w:asciiTheme="majorEastAsia" w:eastAsiaTheme="majorEastAsia" w:hAnsiTheme="majorEastAsia" w:hint="eastAsia"/>
          <w:b/>
          <w:sz w:val="32"/>
          <w:szCs w:val="32"/>
        </w:rPr>
        <w:t>）生效案件再审被改判、发回重审率情况</w:t>
      </w:r>
    </w:p>
    <w:p w:rsidR="006F22F7" w:rsidRDefault="00694C68" w:rsidP="00B03921">
      <w:pPr>
        <w:spacing w:after="0" w:line="360" w:lineRule="auto"/>
        <w:ind w:firstLineChars="250" w:firstLine="800"/>
        <w:jc w:val="both"/>
        <w:rPr>
          <w:rFonts w:ascii="仿宋" w:eastAsia="仿宋" w:hAnsi="仿宋"/>
          <w:sz w:val="32"/>
          <w:szCs w:val="32"/>
        </w:rPr>
      </w:pPr>
      <w:r>
        <w:rPr>
          <w:rFonts w:ascii="仿宋" w:eastAsia="仿宋" w:hAnsi="仿宋" w:hint="eastAsia"/>
          <w:sz w:val="32"/>
          <w:szCs w:val="32"/>
        </w:rPr>
        <w:t>2022年上半年</w:t>
      </w:r>
      <w:r w:rsidR="00B03DEE">
        <w:rPr>
          <w:rFonts w:ascii="仿宋" w:eastAsia="仿宋" w:hAnsi="仿宋" w:hint="eastAsia"/>
          <w:sz w:val="32"/>
          <w:szCs w:val="32"/>
        </w:rPr>
        <w:t>无生效案件再审被改判、发回重审案件</w:t>
      </w:r>
      <w:r w:rsidR="00AE6944">
        <w:rPr>
          <w:rFonts w:ascii="仿宋" w:eastAsia="仿宋" w:hAnsi="仿宋" w:hint="eastAsia"/>
          <w:sz w:val="32"/>
          <w:szCs w:val="32"/>
        </w:rPr>
        <w:t>。</w:t>
      </w:r>
    </w:p>
    <w:p w:rsidR="00B03DEE" w:rsidRDefault="00F80671" w:rsidP="00047075">
      <w:pPr>
        <w:spacing w:after="0" w:line="360" w:lineRule="auto"/>
        <w:ind w:firstLine="630"/>
        <w:jc w:val="both"/>
        <w:rPr>
          <w:rFonts w:asciiTheme="majorEastAsia" w:eastAsiaTheme="majorEastAsia" w:hAnsiTheme="majorEastAsia"/>
          <w:b/>
          <w:sz w:val="32"/>
          <w:szCs w:val="32"/>
        </w:rPr>
      </w:pPr>
      <w:r w:rsidRPr="00F80671">
        <w:rPr>
          <w:rFonts w:asciiTheme="majorEastAsia" w:eastAsiaTheme="majorEastAsia" w:hAnsiTheme="majorEastAsia" w:hint="eastAsia"/>
          <w:b/>
          <w:sz w:val="32"/>
          <w:szCs w:val="32"/>
        </w:rPr>
        <w:t>（</w:t>
      </w:r>
      <w:r w:rsidR="000725B7">
        <w:rPr>
          <w:rFonts w:asciiTheme="majorEastAsia" w:eastAsiaTheme="majorEastAsia" w:hAnsiTheme="majorEastAsia" w:hint="eastAsia"/>
          <w:b/>
          <w:sz w:val="32"/>
          <w:szCs w:val="32"/>
        </w:rPr>
        <w:t>十四</w:t>
      </w:r>
      <w:r w:rsidR="00AE6944" w:rsidRPr="00F80671">
        <w:rPr>
          <w:rFonts w:asciiTheme="majorEastAsia" w:eastAsiaTheme="majorEastAsia" w:hAnsiTheme="majorEastAsia" w:hint="eastAsia"/>
          <w:b/>
          <w:sz w:val="32"/>
          <w:szCs w:val="32"/>
        </w:rPr>
        <w:t>）</w:t>
      </w:r>
      <w:r w:rsidR="004F1C43">
        <w:rPr>
          <w:rFonts w:asciiTheme="majorEastAsia" w:eastAsiaTheme="majorEastAsia" w:hAnsiTheme="majorEastAsia" w:hint="eastAsia"/>
          <w:b/>
          <w:sz w:val="32"/>
          <w:szCs w:val="32"/>
        </w:rPr>
        <w:t>其他指标情况</w:t>
      </w:r>
    </w:p>
    <w:p w:rsidR="00047075" w:rsidRDefault="00047075" w:rsidP="00047075">
      <w:pPr>
        <w:spacing w:after="0" w:line="360" w:lineRule="auto"/>
        <w:ind w:firstLine="630"/>
        <w:jc w:val="both"/>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1</w:t>
      </w:r>
      <w:r>
        <w:rPr>
          <w:rFonts w:ascii="仿宋" w:eastAsia="仿宋" w:hAnsi="仿宋"/>
          <w:sz w:val="32"/>
          <w:szCs w:val="32"/>
        </w:rPr>
        <w:t>）人均结案数</w:t>
      </w:r>
    </w:p>
    <w:p w:rsidR="00047075" w:rsidRDefault="00210006" w:rsidP="00047075">
      <w:pPr>
        <w:spacing w:after="0" w:line="360" w:lineRule="auto"/>
        <w:ind w:firstLine="630"/>
        <w:jc w:val="both"/>
        <w:rPr>
          <w:rFonts w:ascii="Times New Roman" w:eastAsia="仿宋_GB2312" w:hAnsi="Times New Roman" w:cs="Times New Roman"/>
          <w:bCs/>
          <w:kern w:val="21"/>
          <w:sz w:val="32"/>
          <w:szCs w:val="32"/>
        </w:rPr>
      </w:pPr>
      <w:r>
        <w:rPr>
          <w:rFonts w:ascii="Times New Roman" w:eastAsia="仿宋_GB2312" w:hAnsi="Times New Roman" w:cs="Times New Roman" w:hint="eastAsia"/>
          <w:bCs/>
          <w:kern w:val="21"/>
          <w:sz w:val="32"/>
          <w:szCs w:val="32"/>
        </w:rPr>
        <w:t>2022</w:t>
      </w:r>
      <w:r>
        <w:rPr>
          <w:rFonts w:ascii="Times New Roman" w:eastAsia="仿宋_GB2312" w:hAnsi="Times New Roman" w:cs="Times New Roman" w:hint="eastAsia"/>
          <w:bCs/>
          <w:kern w:val="21"/>
          <w:sz w:val="32"/>
          <w:szCs w:val="32"/>
        </w:rPr>
        <w:t>年</w:t>
      </w:r>
      <w:r>
        <w:rPr>
          <w:rFonts w:ascii="Times New Roman" w:eastAsia="仿宋_GB2312" w:hAnsi="Times New Roman" w:cs="Times New Roman"/>
          <w:bCs/>
          <w:kern w:val="21"/>
          <w:sz w:val="32"/>
          <w:szCs w:val="32"/>
        </w:rPr>
        <w:t>上半年人均结案</w:t>
      </w:r>
      <w:r>
        <w:rPr>
          <w:rFonts w:ascii="Times New Roman" w:eastAsia="仿宋_GB2312" w:hAnsi="Times New Roman" w:cs="Times New Roman" w:hint="eastAsia"/>
          <w:bCs/>
          <w:kern w:val="21"/>
          <w:sz w:val="32"/>
          <w:szCs w:val="32"/>
        </w:rPr>
        <w:t>6</w:t>
      </w:r>
      <w:r>
        <w:rPr>
          <w:rFonts w:ascii="Times New Roman" w:eastAsia="仿宋_GB2312" w:hAnsi="Times New Roman" w:cs="Times New Roman" w:hint="eastAsia"/>
          <w:bCs/>
          <w:kern w:val="21"/>
          <w:sz w:val="32"/>
          <w:szCs w:val="32"/>
        </w:rPr>
        <w:t>件，</w:t>
      </w:r>
      <w:r w:rsidR="00047075">
        <w:rPr>
          <w:rFonts w:ascii="Times New Roman" w:eastAsia="仿宋_GB2312" w:hAnsi="Times New Roman" w:cs="Times New Roman"/>
          <w:bCs/>
          <w:kern w:val="21"/>
          <w:sz w:val="32"/>
          <w:szCs w:val="32"/>
        </w:rPr>
        <w:t>按年度考核，年度人均结案数高于全省平均值的给予加分。</w:t>
      </w:r>
    </w:p>
    <w:p w:rsidR="00047075" w:rsidRDefault="00047075" w:rsidP="00047075">
      <w:pPr>
        <w:spacing w:after="0" w:line="360" w:lineRule="auto"/>
        <w:ind w:firstLine="630"/>
        <w:jc w:val="both"/>
        <w:rPr>
          <w:rFonts w:ascii="Times New Roman" w:eastAsia="仿宋_GB2312" w:hAnsi="Times New Roman" w:cs="Times New Roman"/>
          <w:bCs/>
          <w:kern w:val="21"/>
          <w:sz w:val="32"/>
          <w:szCs w:val="32"/>
        </w:rPr>
      </w:pPr>
      <w:r>
        <w:rPr>
          <w:rFonts w:ascii="Times New Roman" w:eastAsia="仿宋_GB2312" w:hAnsi="Times New Roman" w:cs="Times New Roman" w:hint="eastAsia"/>
          <w:bCs/>
          <w:kern w:val="21"/>
          <w:sz w:val="32"/>
          <w:szCs w:val="32"/>
        </w:rPr>
        <w:t>（</w:t>
      </w:r>
      <w:r>
        <w:rPr>
          <w:rFonts w:ascii="Times New Roman" w:eastAsia="仿宋_GB2312" w:hAnsi="Times New Roman" w:cs="Times New Roman" w:hint="eastAsia"/>
          <w:bCs/>
          <w:kern w:val="21"/>
          <w:sz w:val="32"/>
          <w:szCs w:val="32"/>
        </w:rPr>
        <w:t>2</w:t>
      </w:r>
      <w:r>
        <w:rPr>
          <w:rFonts w:ascii="Times New Roman" w:eastAsia="仿宋_GB2312" w:hAnsi="Times New Roman" w:cs="Times New Roman" w:hint="eastAsia"/>
          <w:bCs/>
          <w:kern w:val="21"/>
          <w:sz w:val="32"/>
          <w:szCs w:val="32"/>
        </w:rPr>
        <w:t>）</w:t>
      </w:r>
      <w:r w:rsidRPr="00047075">
        <w:rPr>
          <w:rFonts w:ascii="Times New Roman" w:eastAsia="仿宋_GB2312" w:hAnsi="Times New Roman" w:cs="Times New Roman" w:hint="eastAsia"/>
          <w:bCs/>
          <w:kern w:val="21"/>
          <w:sz w:val="32"/>
          <w:szCs w:val="32"/>
        </w:rPr>
        <w:t>诉讼案件平均审理天数</w:t>
      </w:r>
    </w:p>
    <w:p w:rsidR="00047075" w:rsidRDefault="00694C68" w:rsidP="00047075">
      <w:pPr>
        <w:spacing w:after="0" w:line="360" w:lineRule="auto"/>
        <w:ind w:firstLine="630"/>
        <w:jc w:val="both"/>
        <w:rPr>
          <w:rFonts w:ascii="Times New Roman" w:eastAsia="仿宋_GB2312" w:hAnsi="Times New Roman" w:cs="Times New Roman"/>
          <w:kern w:val="21"/>
          <w:sz w:val="32"/>
          <w:szCs w:val="32"/>
        </w:rPr>
      </w:pPr>
      <w:r>
        <w:rPr>
          <w:rFonts w:ascii="仿宋" w:eastAsia="仿宋" w:hAnsi="仿宋" w:hint="eastAsia"/>
          <w:sz w:val="32"/>
          <w:szCs w:val="32"/>
        </w:rPr>
        <w:lastRenderedPageBreak/>
        <w:t>2022年上半年</w:t>
      </w:r>
      <w:r w:rsidR="004F1C43">
        <w:rPr>
          <w:rFonts w:ascii="仿宋" w:eastAsia="仿宋" w:hAnsi="仿宋" w:hint="eastAsia"/>
          <w:sz w:val="32"/>
          <w:szCs w:val="32"/>
        </w:rPr>
        <w:t>诉讼案件平均审理天数为</w:t>
      </w:r>
      <w:r w:rsidR="00655595">
        <w:rPr>
          <w:rFonts w:ascii="仿宋" w:eastAsia="仿宋" w:hAnsi="仿宋" w:hint="eastAsia"/>
          <w:sz w:val="32"/>
          <w:szCs w:val="32"/>
        </w:rPr>
        <w:t>15.8</w:t>
      </w:r>
      <w:r w:rsidR="004F1C43">
        <w:rPr>
          <w:rFonts w:ascii="仿宋" w:eastAsia="仿宋" w:hAnsi="仿宋" w:hint="eastAsia"/>
          <w:sz w:val="32"/>
          <w:szCs w:val="32"/>
        </w:rPr>
        <w:t>天，</w:t>
      </w:r>
      <w:r w:rsidR="00047075">
        <w:rPr>
          <w:rFonts w:ascii="Times New Roman" w:eastAsia="仿宋_GB2312" w:hAnsi="Times New Roman" w:cs="Times New Roman"/>
          <w:kern w:val="21"/>
          <w:sz w:val="32"/>
          <w:szCs w:val="32"/>
        </w:rPr>
        <w:t>按年度考核，年度诉讼案件平均审理天数低于全省平均值的给予加分。</w:t>
      </w:r>
    </w:p>
    <w:p w:rsidR="004F1C43" w:rsidRDefault="00047075" w:rsidP="00047075">
      <w:pPr>
        <w:spacing w:after="0" w:line="360" w:lineRule="auto"/>
        <w:ind w:firstLine="630"/>
        <w:jc w:val="both"/>
        <w:rPr>
          <w:rFonts w:ascii="Times New Roman" w:eastAsia="仿宋_GB2312" w:hAnsi="Times New Roman" w:cs="Times New Roman"/>
          <w:kern w:val="21"/>
          <w:sz w:val="32"/>
          <w:szCs w:val="32"/>
        </w:rPr>
      </w:pPr>
      <w:r>
        <w:rPr>
          <w:rFonts w:ascii="Times New Roman" w:eastAsia="仿宋_GB2312" w:hAnsi="Times New Roman" w:cs="Times New Roman" w:hint="eastAsia"/>
          <w:kern w:val="21"/>
          <w:sz w:val="32"/>
          <w:szCs w:val="32"/>
        </w:rPr>
        <w:t>（</w:t>
      </w:r>
      <w:r>
        <w:rPr>
          <w:rFonts w:ascii="Times New Roman" w:eastAsia="仿宋_GB2312" w:hAnsi="Times New Roman" w:cs="Times New Roman" w:hint="eastAsia"/>
          <w:kern w:val="21"/>
          <w:sz w:val="32"/>
          <w:szCs w:val="32"/>
        </w:rPr>
        <w:t>3</w:t>
      </w:r>
      <w:r>
        <w:rPr>
          <w:rFonts w:ascii="Times New Roman" w:eastAsia="仿宋_GB2312" w:hAnsi="Times New Roman" w:cs="Times New Roman" w:hint="eastAsia"/>
          <w:kern w:val="21"/>
          <w:sz w:val="32"/>
          <w:szCs w:val="32"/>
        </w:rPr>
        <w:t>）</w:t>
      </w:r>
      <w:proofErr w:type="gramStart"/>
      <w:r w:rsidR="004F1C43">
        <w:rPr>
          <w:rFonts w:ascii="Times New Roman" w:eastAsia="仿宋_GB2312" w:hAnsi="Times New Roman" w:cs="Times New Roman" w:hint="eastAsia"/>
          <w:kern w:val="21"/>
          <w:sz w:val="32"/>
          <w:szCs w:val="32"/>
        </w:rPr>
        <w:t>调撤率</w:t>
      </w:r>
      <w:proofErr w:type="gramEnd"/>
      <w:r w:rsidR="004F1C43">
        <w:rPr>
          <w:rFonts w:ascii="Times New Roman" w:eastAsia="仿宋_GB2312" w:hAnsi="Times New Roman" w:cs="Times New Roman" w:hint="eastAsia"/>
          <w:kern w:val="21"/>
          <w:sz w:val="32"/>
          <w:szCs w:val="32"/>
        </w:rPr>
        <w:t>情况</w:t>
      </w:r>
    </w:p>
    <w:p w:rsidR="00047075" w:rsidRDefault="00694C68" w:rsidP="00047075">
      <w:pPr>
        <w:spacing w:after="0" w:line="360" w:lineRule="auto"/>
        <w:ind w:firstLine="630"/>
        <w:jc w:val="both"/>
        <w:rPr>
          <w:rFonts w:asciiTheme="majorEastAsia" w:eastAsiaTheme="majorEastAsia" w:hAnsiTheme="majorEastAsia"/>
          <w:b/>
          <w:sz w:val="32"/>
          <w:szCs w:val="32"/>
        </w:rPr>
      </w:pPr>
      <w:r>
        <w:rPr>
          <w:rFonts w:ascii="仿宋" w:eastAsia="仿宋" w:hAnsi="仿宋" w:hint="eastAsia"/>
          <w:sz w:val="32"/>
          <w:szCs w:val="32"/>
        </w:rPr>
        <w:t>2022年上半年</w:t>
      </w:r>
      <w:r w:rsidR="00047075">
        <w:rPr>
          <w:rFonts w:ascii="仿宋" w:eastAsia="仿宋" w:hAnsi="仿宋" w:hint="eastAsia"/>
          <w:sz w:val="32"/>
          <w:szCs w:val="32"/>
        </w:rPr>
        <w:t>调解</w:t>
      </w:r>
      <w:r w:rsidR="00A647F6">
        <w:rPr>
          <w:rFonts w:ascii="仿宋" w:eastAsia="仿宋" w:hAnsi="仿宋" w:hint="eastAsia"/>
          <w:sz w:val="32"/>
          <w:szCs w:val="32"/>
        </w:rPr>
        <w:t>撤诉</w:t>
      </w:r>
      <w:r w:rsidR="00655595">
        <w:rPr>
          <w:rFonts w:ascii="仿宋" w:eastAsia="仿宋" w:hAnsi="仿宋" w:hint="eastAsia"/>
          <w:sz w:val="32"/>
          <w:szCs w:val="32"/>
        </w:rPr>
        <w:t>10</w:t>
      </w:r>
      <w:r w:rsidR="00047075">
        <w:rPr>
          <w:rFonts w:ascii="仿宋" w:eastAsia="仿宋" w:hAnsi="仿宋" w:hint="eastAsia"/>
          <w:sz w:val="32"/>
          <w:szCs w:val="32"/>
        </w:rPr>
        <w:t>件，</w:t>
      </w:r>
      <w:r w:rsidR="00A647F6">
        <w:rPr>
          <w:rFonts w:ascii="仿宋" w:eastAsia="仿宋" w:hAnsi="仿宋" w:hint="eastAsia"/>
          <w:sz w:val="32"/>
          <w:szCs w:val="32"/>
        </w:rPr>
        <w:t>司法确认1件，减刑假释</w:t>
      </w:r>
      <w:r w:rsidR="00655595">
        <w:rPr>
          <w:rFonts w:ascii="仿宋" w:eastAsia="仿宋" w:hAnsi="仿宋" w:hint="eastAsia"/>
          <w:sz w:val="32"/>
          <w:szCs w:val="32"/>
        </w:rPr>
        <w:t>0</w:t>
      </w:r>
      <w:r w:rsidR="00A647F6">
        <w:rPr>
          <w:rFonts w:ascii="仿宋" w:eastAsia="仿宋" w:hAnsi="仿宋" w:hint="eastAsia"/>
          <w:sz w:val="32"/>
          <w:szCs w:val="32"/>
        </w:rPr>
        <w:t>件，诉讼结案</w:t>
      </w:r>
      <w:r w:rsidR="00655595">
        <w:rPr>
          <w:rFonts w:ascii="仿宋" w:eastAsia="仿宋" w:hAnsi="仿宋" w:hint="eastAsia"/>
          <w:sz w:val="32"/>
          <w:szCs w:val="32"/>
        </w:rPr>
        <w:t>19</w:t>
      </w:r>
      <w:r w:rsidR="00A647F6">
        <w:rPr>
          <w:rFonts w:ascii="仿宋" w:eastAsia="仿宋" w:hAnsi="仿宋" w:hint="eastAsia"/>
          <w:sz w:val="32"/>
          <w:szCs w:val="32"/>
        </w:rPr>
        <w:t>件，</w:t>
      </w:r>
      <w:proofErr w:type="gramStart"/>
      <w:r w:rsidR="00047075">
        <w:rPr>
          <w:rFonts w:ascii="仿宋" w:eastAsia="仿宋" w:hAnsi="仿宋" w:hint="eastAsia"/>
          <w:sz w:val="32"/>
          <w:szCs w:val="32"/>
        </w:rPr>
        <w:t>调撤率</w:t>
      </w:r>
      <w:proofErr w:type="gramEnd"/>
      <w:r w:rsidR="00655595">
        <w:rPr>
          <w:rFonts w:ascii="仿宋" w:eastAsia="仿宋" w:hAnsi="仿宋" w:hint="eastAsia"/>
          <w:sz w:val="32"/>
          <w:szCs w:val="32"/>
        </w:rPr>
        <w:t>57.89</w:t>
      </w:r>
      <w:r w:rsidR="00047075">
        <w:rPr>
          <w:rFonts w:ascii="仿宋" w:eastAsia="仿宋" w:hAnsi="仿宋" w:hint="eastAsia"/>
          <w:sz w:val="32"/>
          <w:szCs w:val="32"/>
        </w:rPr>
        <w:t>%</w:t>
      </w:r>
      <w:r w:rsidR="00047075">
        <w:rPr>
          <w:rFonts w:ascii="Times New Roman" w:eastAsia="仿宋_GB2312" w:hAnsi="Times New Roman" w:cs="Times New Roman"/>
          <w:bCs/>
          <w:kern w:val="21"/>
          <w:sz w:val="32"/>
          <w:szCs w:val="32"/>
        </w:rPr>
        <w:t>。</w:t>
      </w:r>
    </w:p>
    <w:p w:rsidR="00047075" w:rsidRPr="00047075" w:rsidRDefault="004F1C43" w:rsidP="00047075">
      <w:pPr>
        <w:spacing w:after="0" w:line="360" w:lineRule="auto"/>
        <w:ind w:firstLine="630"/>
        <w:jc w:val="both"/>
        <w:rPr>
          <w:rFonts w:ascii="Times New Roman" w:eastAsia="仿宋_GB2312" w:hAnsi="Times New Roman" w:cs="Times New Roman"/>
          <w:kern w:val="21"/>
          <w:sz w:val="32"/>
          <w:szCs w:val="32"/>
        </w:rPr>
      </w:pPr>
      <w:r>
        <w:rPr>
          <w:rFonts w:ascii="Times New Roman" w:eastAsia="仿宋_GB2312" w:hAnsi="Times New Roman" w:cs="Times New Roman" w:hint="eastAsia"/>
          <w:kern w:val="21"/>
          <w:sz w:val="32"/>
          <w:szCs w:val="32"/>
        </w:rPr>
        <w:t>（</w:t>
      </w:r>
      <w:r>
        <w:rPr>
          <w:rFonts w:ascii="Times New Roman" w:eastAsia="仿宋_GB2312" w:hAnsi="Times New Roman" w:cs="Times New Roman" w:hint="eastAsia"/>
          <w:kern w:val="21"/>
          <w:sz w:val="32"/>
          <w:szCs w:val="32"/>
        </w:rPr>
        <w:t>4</w:t>
      </w:r>
      <w:r>
        <w:rPr>
          <w:rFonts w:ascii="Times New Roman" w:eastAsia="仿宋_GB2312" w:hAnsi="Times New Roman" w:cs="Times New Roman" w:hint="eastAsia"/>
          <w:kern w:val="21"/>
          <w:sz w:val="32"/>
          <w:szCs w:val="32"/>
        </w:rPr>
        <w:t>）</w:t>
      </w:r>
      <w:r w:rsidRPr="004F1C43">
        <w:rPr>
          <w:rFonts w:ascii="Times New Roman" w:eastAsia="仿宋_GB2312" w:hAnsi="Times New Roman" w:cs="Times New Roman" w:hint="eastAsia"/>
          <w:kern w:val="21"/>
          <w:sz w:val="32"/>
          <w:szCs w:val="32"/>
        </w:rPr>
        <w:t>上诉案件流转周期</w:t>
      </w:r>
    </w:p>
    <w:p w:rsidR="00047075" w:rsidRDefault="00694C68" w:rsidP="00047075">
      <w:pPr>
        <w:spacing w:after="0" w:line="360" w:lineRule="auto"/>
        <w:ind w:firstLine="630"/>
        <w:jc w:val="both"/>
        <w:rPr>
          <w:rFonts w:ascii="Times New Roman" w:eastAsia="仿宋_GB2312" w:hAnsi="Times New Roman" w:cs="Times New Roman"/>
          <w:kern w:val="21"/>
          <w:sz w:val="32"/>
          <w:szCs w:val="32"/>
        </w:rPr>
      </w:pPr>
      <w:r>
        <w:rPr>
          <w:rFonts w:ascii="仿宋" w:eastAsia="仿宋" w:hAnsi="仿宋" w:hint="eastAsia"/>
          <w:sz w:val="32"/>
          <w:szCs w:val="32"/>
        </w:rPr>
        <w:t>2022年上半年</w:t>
      </w:r>
      <w:r w:rsidR="004F1C43">
        <w:rPr>
          <w:rFonts w:ascii="仿宋" w:eastAsia="仿宋" w:hAnsi="仿宋" w:hint="eastAsia"/>
          <w:sz w:val="32"/>
          <w:szCs w:val="32"/>
        </w:rPr>
        <w:t>上诉</w:t>
      </w:r>
      <w:r w:rsidR="00A647F6">
        <w:rPr>
          <w:rFonts w:ascii="仿宋" w:eastAsia="仿宋" w:hAnsi="仿宋" w:hint="eastAsia"/>
          <w:sz w:val="32"/>
          <w:szCs w:val="32"/>
        </w:rPr>
        <w:t>2</w:t>
      </w:r>
      <w:r w:rsidR="004F1C43">
        <w:rPr>
          <w:rFonts w:ascii="仿宋" w:eastAsia="仿宋" w:hAnsi="仿宋" w:hint="eastAsia"/>
          <w:sz w:val="32"/>
          <w:szCs w:val="32"/>
        </w:rPr>
        <w:t>件，</w:t>
      </w:r>
      <w:r w:rsidR="00A647F6">
        <w:rPr>
          <w:rFonts w:ascii="仿宋" w:eastAsia="仿宋" w:hAnsi="仿宋" w:hint="eastAsia"/>
          <w:sz w:val="32"/>
          <w:szCs w:val="32"/>
        </w:rPr>
        <w:t>上诉案件流转周期</w:t>
      </w:r>
      <w:r w:rsidR="00655595">
        <w:rPr>
          <w:rFonts w:ascii="仿宋" w:eastAsia="仿宋" w:hAnsi="仿宋" w:hint="eastAsia"/>
          <w:sz w:val="32"/>
          <w:szCs w:val="32"/>
        </w:rPr>
        <w:t>23.67</w:t>
      </w:r>
      <w:r w:rsidR="00A647F6">
        <w:rPr>
          <w:rFonts w:ascii="仿宋" w:eastAsia="仿宋" w:hAnsi="仿宋" w:hint="eastAsia"/>
          <w:sz w:val="32"/>
          <w:szCs w:val="32"/>
        </w:rPr>
        <w:t>天</w:t>
      </w:r>
      <w:r w:rsidR="004F1C43">
        <w:rPr>
          <w:rFonts w:ascii="Times New Roman" w:eastAsia="仿宋_GB2312" w:hAnsi="Times New Roman" w:cs="Times New Roman"/>
          <w:kern w:val="21"/>
          <w:sz w:val="32"/>
          <w:szCs w:val="32"/>
        </w:rPr>
        <w:t>。</w:t>
      </w:r>
    </w:p>
    <w:p w:rsidR="00A94BBF" w:rsidRDefault="00A94BBF" w:rsidP="00B03921">
      <w:pPr>
        <w:spacing w:after="0" w:line="360" w:lineRule="auto"/>
        <w:ind w:firstLineChars="200" w:firstLine="640"/>
        <w:jc w:val="both"/>
        <w:rPr>
          <w:rFonts w:ascii="仿宋" w:eastAsia="仿宋" w:hAnsi="仿宋"/>
          <w:sz w:val="32"/>
          <w:szCs w:val="32"/>
        </w:rPr>
      </w:pPr>
      <w:r>
        <w:rPr>
          <w:rFonts w:ascii="仿宋" w:eastAsia="仿宋" w:hAnsi="仿宋" w:hint="eastAsia"/>
          <w:sz w:val="32"/>
          <w:szCs w:val="32"/>
        </w:rPr>
        <w:t>（</w:t>
      </w:r>
      <w:r w:rsidR="009078FF">
        <w:rPr>
          <w:rFonts w:ascii="仿宋" w:eastAsia="仿宋" w:hAnsi="仿宋" w:hint="eastAsia"/>
          <w:sz w:val="32"/>
          <w:szCs w:val="32"/>
        </w:rPr>
        <w:t>5</w:t>
      </w:r>
      <w:r>
        <w:rPr>
          <w:rFonts w:ascii="仿宋" w:eastAsia="仿宋" w:hAnsi="仿宋" w:hint="eastAsia"/>
          <w:sz w:val="32"/>
          <w:szCs w:val="32"/>
        </w:rPr>
        <w:t>）</w:t>
      </w:r>
      <w:r w:rsidRPr="00A94BBF">
        <w:rPr>
          <w:rFonts w:ascii="仿宋" w:eastAsia="仿宋" w:hAnsi="仿宋" w:hint="eastAsia"/>
          <w:sz w:val="32"/>
          <w:szCs w:val="32"/>
        </w:rPr>
        <w:t>旧存未结案件占比</w:t>
      </w:r>
      <w:r>
        <w:rPr>
          <w:rFonts w:ascii="仿宋" w:eastAsia="仿宋" w:hAnsi="仿宋" w:hint="eastAsia"/>
          <w:sz w:val="32"/>
          <w:szCs w:val="32"/>
        </w:rPr>
        <w:t>情况</w:t>
      </w:r>
    </w:p>
    <w:p w:rsidR="00A94BBF" w:rsidRDefault="00A94BBF" w:rsidP="00B03921">
      <w:pPr>
        <w:spacing w:after="0" w:line="360" w:lineRule="auto"/>
        <w:ind w:firstLineChars="200" w:firstLine="640"/>
        <w:jc w:val="both"/>
        <w:rPr>
          <w:rFonts w:ascii="仿宋" w:eastAsia="仿宋" w:hAnsi="仿宋"/>
          <w:sz w:val="32"/>
          <w:szCs w:val="32"/>
        </w:rPr>
      </w:pPr>
      <w:r>
        <w:rPr>
          <w:rFonts w:ascii="仿宋" w:eastAsia="仿宋" w:hAnsi="仿宋" w:hint="eastAsia"/>
          <w:sz w:val="32"/>
          <w:szCs w:val="32"/>
        </w:rPr>
        <w:t>无旧存案件。</w:t>
      </w:r>
    </w:p>
    <w:p w:rsidR="00A078DF" w:rsidRPr="00F80671" w:rsidRDefault="00A078DF" w:rsidP="00A078DF">
      <w:pPr>
        <w:spacing w:after="0" w:line="360" w:lineRule="auto"/>
        <w:ind w:firstLineChars="200" w:firstLine="640"/>
        <w:jc w:val="both"/>
        <w:rPr>
          <w:rFonts w:ascii="黑体" w:eastAsia="黑体" w:hAnsi="黑体"/>
          <w:sz w:val="32"/>
          <w:szCs w:val="32"/>
        </w:rPr>
      </w:pPr>
      <w:r w:rsidRPr="00F80671">
        <w:rPr>
          <w:rFonts w:ascii="黑体" w:eastAsia="黑体" w:hAnsi="黑体" w:hint="eastAsia"/>
          <w:sz w:val="32"/>
          <w:szCs w:val="32"/>
        </w:rPr>
        <w:t>三、</w:t>
      </w:r>
      <w:r>
        <w:rPr>
          <w:rFonts w:ascii="黑体" w:eastAsia="黑体" w:hAnsi="黑体" w:hint="eastAsia"/>
          <w:sz w:val="32"/>
          <w:szCs w:val="32"/>
        </w:rPr>
        <w:t>司法公开</w:t>
      </w:r>
    </w:p>
    <w:p w:rsidR="00493A69" w:rsidRPr="00A078DF" w:rsidRDefault="00493A69" w:rsidP="00A078DF">
      <w:pPr>
        <w:spacing w:after="0" w:line="360" w:lineRule="auto"/>
        <w:ind w:firstLineChars="196" w:firstLine="630"/>
        <w:jc w:val="both"/>
        <w:rPr>
          <w:rFonts w:asciiTheme="minorEastAsia" w:eastAsiaTheme="minorEastAsia" w:hAnsiTheme="minorEastAsia"/>
          <w:b/>
          <w:sz w:val="32"/>
          <w:szCs w:val="32"/>
        </w:rPr>
      </w:pPr>
      <w:r w:rsidRPr="00A078DF">
        <w:rPr>
          <w:rFonts w:asciiTheme="minorEastAsia" w:eastAsiaTheme="minorEastAsia" w:hAnsiTheme="minorEastAsia" w:hint="eastAsia"/>
          <w:b/>
          <w:sz w:val="32"/>
          <w:szCs w:val="32"/>
        </w:rPr>
        <w:t>（</w:t>
      </w:r>
      <w:r w:rsidR="00A078DF" w:rsidRPr="00A078DF">
        <w:rPr>
          <w:rFonts w:asciiTheme="minorEastAsia" w:eastAsiaTheme="minorEastAsia" w:hAnsiTheme="minorEastAsia" w:hint="eastAsia"/>
          <w:b/>
          <w:sz w:val="32"/>
          <w:szCs w:val="32"/>
        </w:rPr>
        <w:t>十</w:t>
      </w:r>
      <w:r w:rsidR="00026717">
        <w:rPr>
          <w:rFonts w:asciiTheme="minorEastAsia" w:eastAsiaTheme="minorEastAsia" w:hAnsiTheme="minorEastAsia" w:hint="eastAsia"/>
          <w:b/>
          <w:sz w:val="32"/>
          <w:szCs w:val="32"/>
        </w:rPr>
        <w:t>五</w:t>
      </w:r>
      <w:r w:rsidRPr="00A078DF">
        <w:rPr>
          <w:rFonts w:asciiTheme="minorEastAsia" w:eastAsiaTheme="minorEastAsia" w:hAnsiTheme="minorEastAsia" w:hint="eastAsia"/>
          <w:b/>
          <w:sz w:val="32"/>
          <w:szCs w:val="32"/>
        </w:rPr>
        <w:t>）裁判文书公开情况</w:t>
      </w:r>
    </w:p>
    <w:p w:rsidR="00B03F8B" w:rsidRPr="00210006" w:rsidRDefault="00655595" w:rsidP="00210006">
      <w:pPr>
        <w:spacing w:after="0" w:line="360" w:lineRule="auto"/>
        <w:ind w:firstLineChars="196" w:firstLine="627"/>
        <w:jc w:val="both"/>
        <w:rPr>
          <w:rFonts w:ascii="仿宋" w:eastAsia="仿宋" w:hAnsi="仿宋"/>
          <w:sz w:val="32"/>
          <w:szCs w:val="32"/>
        </w:rPr>
      </w:pPr>
      <w:r>
        <w:rPr>
          <w:rFonts w:ascii="仿宋" w:eastAsia="仿宋" w:hAnsi="仿宋" w:hint="eastAsia"/>
          <w:sz w:val="32"/>
          <w:szCs w:val="32"/>
        </w:rPr>
        <w:t>2022年上半年结案61件，</w:t>
      </w:r>
      <w:r w:rsidR="006F4537">
        <w:rPr>
          <w:rFonts w:ascii="仿宋" w:eastAsia="仿宋" w:hAnsi="仿宋" w:hint="eastAsia"/>
          <w:sz w:val="32"/>
          <w:szCs w:val="32"/>
        </w:rPr>
        <w:t>民事案件调解9件，刑事案件被系统拦截为敏感文书5篇，</w:t>
      </w:r>
      <w:r>
        <w:rPr>
          <w:rFonts w:ascii="仿宋" w:eastAsia="仿宋" w:hAnsi="仿宋" w:hint="eastAsia"/>
          <w:sz w:val="32"/>
          <w:szCs w:val="32"/>
        </w:rPr>
        <w:t>民事案件上网4篇，执行案件上网39篇，</w:t>
      </w:r>
      <w:r w:rsidRPr="00655595">
        <w:rPr>
          <w:rFonts w:ascii="仿宋" w:eastAsia="仿宋" w:hAnsi="仿宋" w:hint="eastAsia"/>
          <w:sz w:val="32"/>
          <w:szCs w:val="32"/>
        </w:rPr>
        <w:t>裁判文书</w:t>
      </w:r>
      <w:r w:rsidRPr="00210006">
        <w:rPr>
          <w:rFonts w:ascii="仿宋" w:eastAsia="仿宋" w:hAnsi="仿宋" w:hint="eastAsia"/>
          <w:sz w:val="32"/>
          <w:szCs w:val="32"/>
        </w:rPr>
        <w:t>上网率72.13%</w:t>
      </w:r>
      <w:r w:rsidR="009F1937" w:rsidRPr="00210006">
        <w:rPr>
          <w:rFonts w:ascii="仿宋" w:eastAsia="仿宋" w:hAnsi="仿宋" w:hint="eastAsia"/>
          <w:sz w:val="32"/>
          <w:szCs w:val="32"/>
        </w:rPr>
        <w:t>。</w:t>
      </w:r>
    </w:p>
    <w:p w:rsidR="002C55BE" w:rsidRPr="00210006" w:rsidRDefault="00493A69" w:rsidP="00210006">
      <w:pPr>
        <w:spacing w:after="0" w:line="360" w:lineRule="auto"/>
        <w:ind w:firstLineChars="196" w:firstLine="630"/>
        <w:jc w:val="both"/>
        <w:rPr>
          <w:rFonts w:asciiTheme="majorEastAsia" w:eastAsiaTheme="majorEastAsia" w:hAnsiTheme="majorEastAsia"/>
          <w:b/>
          <w:sz w:val="32"/>
          <w:szCs w:val="32"/>
        </w:rPr>
      </w:pPr>
      <w:r w:rsidRPr="00210006">
        <w:rPr>
          <w:rFonts w:asciiTheme="majorEastAsia" w:eastAsiaTheme="majorEastAsia" w:hAnsiTheme="majorEastAsia" w:hint="eastAsia"/>
          <w:b/>
          <w:sz w:val="32"/>
          <w:szCs w:val="32"/>
        </w:rPr>
        <w:t>（</w:t>
      </w:r>
      <w:r w:rsidR="00A078DF" w:rsidRPr="00210006">
        <w:rPr>
          <w:rFonts w:asciiTheme="majorEastAsia" w:eastAsiaTheme="majorEastAsia" w:hAnsiTheme="majorEastAsia" w:hint="eastAsia"/>
          <w:b/>
          <w:sz w:val="32"/>
          <w:szCs w:val="32"/>
        </w:rPr>
        <w:t>十</w:t>
      </w:r>
      <w:r w:rsidR="00026717" w:rsidRPr="00210006">
        <w:rPr>
          <w:rFonts w:asciiTheme="majorEastAsia" w:eastAsiaTheme="majorEastAsia" w:hAnsiTheme="majorEastAsia" w:hint="eastAsia"/>
          <w:b/>
          <w:sz w:val="32"/>
          <w:szCs w:val="32"/>
        </w:rPr>
        <w:t>六</w:t>
      </w:r>
      <w:r w:rsidRPr="00210006">
        <w:rPr>
          <w:rFonts w:asciiTheme="majorEastAsia" w:eastAsiaTheme="majorEastAsia" w:hAnsiTheme="majorEastAsia" w:hint="eastAsia"/>
          <w:b/>
          <w:sz w:val="32"/>
          <w:szCs w:val="32"/>
        </w:rPr>
        <w:t>）</w:t>
      </w:r>
      <w:r w:rsidR="00AE6944" w:rsidRPr="00210006">
        <w:rPr>
          <w:rFonts w:asciiTheme="majorEastAsia" w:eastAsiaTheme="majorEastAsia" w:hAnsiTheme="majorEastAsia" w:hint="eastAsia"/>
          <w:b/>
          <w:sz w:val="32"/>
          <w:szCs w:val="32"/>
        </w:rPr>
        <w:t>庭审直播</w:t>
      </w:r>
      <w:r w:rsidR="002639DB" w:rsidRPr="00210006">
        <w:rPr>
          <w:rFonts w:asciiTheme="majorEastAsia" w:eastAsiaTheme="majorEastAsia" w:hAnsiTheme="majorEastAsia" w:hint="eastAsia"/>
          <w:b/>
          <w:sz w:val="32"/>
          <w:szCs w:val="32"/>
        </w:rPr>
        <w:t>情况</w:t>
      </w:r>
    </w:p>
    <w:p w:rsidR="00244F2F" w:rsidRPr="00210006" w:rsidRDefault="00694C68" w:rsidP="00210006">
      <w:pPr>
        <w:spacing w:after="0" w:line="360" w:lineRule="auto"/>
        <w:ind w:firstLineChars="196" w:firstLine="627"/>
        <w:jc w:val="both"/>
        <w:rPr>
          <w:rFonts w:ascii="仿宋" w:eastAsia="仿宋" w:hAnsi="仿宋"/>
          <w:sz w:val="32"/>
          <w:szCs w:val="32"/>
        </w:rPr>
      </w:pPr>
      <w:r w:rsidRPr="00210006">
        <w:rPr>
          <w:rFonts w:ascii="仿宋" w:eastAsia="仿宋" w:hAnsi="仿宋" w:hint="eastAsia"/>
          <w:sz w:val="32"/>
          <w:szCs w:val="32"/>
        </w:rPr>
        <w:t>2022年上半年</w:t>
      </w:r>
      <w:r w:rsidR="006F4537" w:rsidRPr="00210006">
        <w:rPr>
          <w:rFonts w:ascii="仿宋" w:eastAsia="仿宋" w:hAnsi="仿宋" w:hint="eastAsia"/>
          <w:sz w:val="32"/>
          <w:szCs w:val="32"/>
        </w:rPr>
        <w:t>受理诉讼案件19件，庭审直播11</w:t>
      </w:r>
      <w:r w:rsidR="009078FF" w:rsidRPr="00210006">
        <w:rPr>
          <w:rFonts w:ascii="仿宋" w:eastAsia="仿宋" w:hAnsi="仿宋" w:hint="eastAsia"/>
          <w:sz w:val="32"/>
          <w:szCs w:val="32"/>
        </w:rPr>
        <w:t>件，</w:t>
      </w:r>
      <w:r w:rsidR="006F4537" w:rsidRPr="00210006">
        <w:rPr>
          <w:rFonts w:ascii="仿宋" w:eastAsia="仿宋" w:hAnsi="仿宋" w:hint="eastAsia"/>
          <w:sz w:val="32"/>
          <w:szCs w:val="32"/>
        </w:rPr>
        <w:t>庭审</w:t>
      </w:r>
      <w:r w:rsidR="009078FF" w:rsidRPr="00210006">
        <w:rPr>
          <w:rFonts w:ascii="仿宋" w:eastAsia="仿宋" w:hAnsi="仿宋" w:hint="eastAsia"/>
          <w:sz w:val="32"/>
          <w:szCs w:val="32"/>
        </w:rPr>
        <w:t>直播率</w:t>
      </w:r>
      <w:r w:rsidR="006F4537" w:rsidRPr="00210006">
        <w:rPr>
          <w:rFonts w:ascii="仿宋" w:eastAsia="仿宋" w:hAnsi="仿宋" w:hint="eastAsia"/>
          <w:sz w:val="32"/>
          <w:szCs w:val="32"/>
        </w:rPr>
        <w:t>57.89</w:t>
      </w:r>
      <w:r w:rsidR="009078FF" w:rsidRPr="00210006">
        <w:rPr>
          <w:rFonts w:ascii="仿宋" w:eastAsia="仿宋" w:hAnsi="仿宋" w:hint="eastAsia"/>
          <w:sz w:val="32"/>
          <w:szCs w:val="32"/>
        </w:rPr>
        <w:t>%</w:t>
      </w:r>
      <w:r w:rsidR="006F4537" w:rsidRPr="00210006">
        <w:rPr>
          <w:rFonts w:ascii="仿宋" w:eastAsia="仿宋" w:hAnsi="仿宋" w:hint="eastAsia"/>
          <w:sz w:val="32"/>
          <w:szCs w:val="32"/>
        </w:rPr>
        <w:t>。</w:t>
      </w:r>
    </w:p>
    <w:p w:rsidR="006F22F7" w:rsidRPr="00A078DF" w:rsidRDefault="0074089E" w:rsidP="00A078DF">
      <w:pPr>
        <w:spacing w:after="0" w:line="360" w:lineRule="auto"/>
        <w:ind w:firstLineChars="250" w:firstLine="803"/>
        <w:jc w:val="both"/>
        <w:rPr>
          <w:rFonts w:asciiTheme="majorEastAsia" w:eastAsiaTheme="majorEastAsia" w:hAnsiTheme="majorEastAsia"/>
          <w:b/>
          <w:sz w:val="32"/>
          <w:szCs w:val="32"/>
        </w:rPr>
      </w:pPr>
      <w:r w:rsidRPr="00A078DF">
        <w:rPr>
          <w:rFonts w:asciiTheme="majorEastAsia" w:eastAsiaTheme="majorEastAsia" w:hAnsiTheme="majorEastAsia" w:hint="eastAsia"/>
          <w:b/>
          <w:sz w:val="32"/>
          <w:szCs w:val="32"/>
        </w:rPr>
        <w:t>（</w:t>
      </w:r>
      <w:r w:rsidR="000725B7">
        <w:rPr>
          <w:rFonts w:asciiTheme="majorEastAsia" w:eastAsiaTheme="majorEastAsia" w:hAnsiTheme="majorEastAsia" w:hint="eastAsia"/>
          <w:b/>
          <w:sz w:val="32"/>
          <w:szCs w:val="32"/>
        </w:rPr>
        <w:t>十</w:t>
      </w:r>
      <w:r w:rsidR="00026717">
        <w:rPr>
          <w:rFonts w:asciiTheme="majorEastAsia" w:eastAsiaTheme="majorEastAsia" w:hAnsiTheme="majorEastAsia" w:hint="eastAsia"/>
          <w:b/>
          <w:sz w:val="32"/>
          <w:szCs w:val="32"/>
        </w:rPr>
        <w:t>七</w:t>
      </w:r>
      <w:r w:rsidRPr="00A078DF">
        <w:rPr>
          <w:rFonts w:asciiTheme="majorEastAsia" w:eastAsiaTheme="majorEastAsia" w:hAnsiTheme="majorEastAsia" w:hint="eastAsia"/>
          <w:b/>
          <w:sz w:val="32"/>
          <w:szCs w:val="32"/>
        </w:rPr>
        <w:t>）</w:t>
      </w:r>
      <w:r w:rsidR="005220AD" w:rsidRPr="00A078DF">
        <w:rPr>
          <w:rFonts w:asciiTheme="majorEastAsia" w:eastAsiaTheme="majorEastAsia" w:hAnsiTheme="majorEastAsia" w:hint="eastAsia"/>
          <w:b/>
          <w:sz w:val="32"/>
          <w:szCs w:val="32"/>
        </w:rPr>
        <w:t>审判流程信息公开</w:t>
      </w:r>
      <w:r w:rsidR="00AE6944" w:rsidRPr="00A078DF">
        <w:rPr>
          <w:rFonts w:asciiTheme="majorEastAsia" w:eastAsiaTheme="majorEastAsia" w:hAnsiTheme="majorEastAsia" w:hint="eastAsia"/>
          <w:b/>
          <w:sz w:val="32"/>
          <w:szCs w:val="32"/>
        </w:rPr>
        <w:t>情况</w:t>
      </w:r>
    </w:p>
    <w:p w:rsidR="00B03921" w:rsidRDefault="00694C68" w:rsidP="00B03921">
      <w:pPr>
        <w:spacing w:after="0" w:line="360" w:lineRule="auto"/>
        <w:ind w:firstLineChars="250" w:firstLine="800"/>
        <w:jc w:val="both"/>
        <w:rPr>
          <w:rFonts w:ascii="仿宋" w:eastAsia="仿宋" w:hAnsi="仿宋"/>
          <w:sz w:val="32"/>
          <w:szCs w:val="32"/>
        </w:rPr>
      </w:pPr>
      <w:r>
        <w:rPr>
          <w:rFonts w:ascii="仿宋" w:eastAsia="仿宋" w:hAnsi="仿宋" w:hint="eastAsia"/>
          <w:sz w:val="32"/>
          <w:szCs w:val="32"/>
        </w:rPr>
        <w:t>2022年上半年</w:t>
      </w:r>
      <w:r w:rsidR="00C35B94">
        <w:rPr>
          <w:rFonts w:ascii="仿宋" w:eastAsia="仿宋" w:hAnsi="仿宋" w:hint="eastAsia"/>
          <w:sz w:val="32"/>
          <w:szCs w:val="32"/>
        </w:rPr>
        <w:t>审判流程信息</w:t>
      </w:r>
      <w:r w:rsidR="00020C88">
        <w:rPr>
          <w:rFonts w:ascii="仿宋" w:eastAsia="仿宋" w:hAnsi="仿宋" w:hint="eastAsia"/>
          <w:sz w:val="32"/>
          <w:szCs w:val="32"/>
        </w:rPr>
        <w:t>有效公开率</w:t>
      </w:r>
      <w:r w:rsidR="001D720C" w:rsidRPr="001D720C">
        <w:rPr>
          <w:rFonts w:ascii="仿宋" w:eastAsia="仿宋" w:hAnsi="仿宋" w:hint="eastAsia"/>
          <w:sz w:val="32"/>
          <w:szCs w:val="32"/>
        </w:rPr>
        <w:t>100.00</w:t>
      </w:r>
      <w:r w:rsidR="003F0B7B">
        <w:rPr>
          <w:rFonts w:ascii="仿宋" w:eastAsia="仿宋" w:hAnsi="仿宋" w:hint="eastAsia"/>
          <w:sz w:val="32"/>
          <w:szCs w:val="32"/>
        </w:rPr>
        <w:t>%</w:t>
      </w:r>
      <w:r w:rsidR="006F4537">
        <w:rPr>
          <w:rFonts w:ascii="仿宋" w:eastAsia="仿宋" w:hAnsi="仿宋" w:hint="eastAsia"/>
          <w:sz w:val="32"/>
          <w:szCs w:val="32"/>
        </w:rPr>
        <w:t>，</w:t>
      </w:r>
      <w:r w:rsidR="006F4537" w:rsidRPr="006F4537">
        <w:rPr>
          <w:rFonts w:ascii="仿宋" w:eastAsia="仿宋" w:hAnsi="仿宋" w:hint="eastAsia"/>
          <w:sz w:val="32"/>
          <w:szCs w:val="32"/>
        </w:rPr>
        <w:t>文书</w:t>
      </w:r>
      <w:r w:rsidR="006F4537">
        <w:rPr>
          <w:rFonts w:ascii="仿宋" w:eastAsia="仿宋" w:hAnsi="仿宋" w:hint="eastAsia"/>
          <w:sz w:val="32"/>
          <w:szCs w:val="32"/>
        </w:rPr>
        <w:t>笔录</w:t>
      </w:r>
      <w:r w:rsidR="006F4537" w:rsidRPr="006F4537">
        <w:rPr>
          <w:rFonts w:ascii="仿宋" w:eastAsia="仿宋" w:hAnsi="仿宋" w:hint="eastAsia"/>
          <w:sz w:val="32"/>
          <w:szCs w:val="32"/>
        </w:rPr>
        <w:t>公开率400.00%，电子送达率435.29%</w:t>
      </w:r>
      <w:r w:rsidR="00020C88" w:rsidRPr="00520C95">
        <w:rPr>
          <w:rFonts w:ascii="仿宋" w:eastAsia="仿宋" w:hAnsi="仿宋" w:hint="eastAsia"/>
          <w:sz w:val="32"/>
          <w:szCs w:val="32"/>
        </w:rPr>
        <w:t>。</w:t>
      </w:r>
    </w:p>
    <w:p w:rsidR="00AA0A0C" w:rsidRDefault="0074089E" w:rsidP="000340D8">
      <w:pPr>
        <w:spacing w:after="0" w:line="360" w:lineRule="auto"/>
        <w:ind w:firstLineChars="250" w:firstLine="800"/>
        <w:jc w:val="both"/>
        <w:rPr>
          <w:rFonts w:ascii="黑体" w:eastAsia="黑体" w:hAnsi="黑体"/>
          <w:sz w:val="32"/>
          <w:szCs w:val="32"/>
        </w:rPr>
      </w:pPr>
      <w:r>
        <w:rPr>
          <w:rFonts w:ascii="黑体" w:eastAsia="黑体" w:hAnsi="黑体" w:hint="eastAsia"/>
          <w:sz w:val="32"/>
          <w:szCs w:val="32"/>
        </w:rPr>
        <w:t>五、</w:t>
      </w:r>
      <w:r w:rsidR="006F4537">
        <w:rPr>
          <w:rFonts w:ascii="黑体" w:eastAsia="黑体" w:hAnsi="黑体" w:hint="eastAsia"/>
          <w:sz w:val="32"/>
          <w:szCs w:val="32"/>
        </w:rPr>
        <w:t>重点工作情况</w:t>
      </w:r>
    </w:p>
    <w:p w:rsidR="00DB0FB7" w:rsidRDefault="00E43503" w:rsidP="00DB0FB7">
      <w:pPr>
        <w:spacing w:after="0" w:line="360" w:lineRule="auto"/>
        <w:ind w:firstLineChars="250" w:firstLine="803"/>
        <w:jc w:val="both"/>
        <w:rPr>
          <w:rFonts w:asciiTheme="minorEastAsia" w:eastAsiaTheme="minorEastAsia" w:hAnsiTheme="minorEastAsia"/>
          <w:b/>
          <w:sz w:val="32"/>
          <w:szCs w:val="32"/>
        </w:rPr>
      </w:pPr>
      <w:r w:rsidRPr="00DB0FB7">
        <w:rPr>
          <w:rFonts w:asciiTheme="minorEastAsia" w:eastAsiaTheme="minorEastAsia" w:hAnsiTheme="minorEastAsia" w:hint="eastAsia"/>
          <w:b/>
          <w:sz w:val="32"/>
          <w:szCs w:val="32"/>
        </w:rPr>
        <w:t>（</w:t>
      </w:r>
      <w:r w:rsidR="00A83956" w:rsidRPr="00DB0FB7">
        <w:rPr>
          <w:rFonts w:asciiTheme="minorEastAsia" w:eastAsiaTheme="minorEastAsia" w:hAnsiTheme="minorEastAsia" w:hint="eastAsia"/>
          <w:b/>
          <w:sz w:val="32"/>
          <w:szCs w:val="32"/>
        </w:rPr>
        <w:t>十八</w:t>
      </w:r>
      <w:r w:rsidRPr="00DB0FB7">
        <w:rPr>
          <w:rFonts w:asciiTheme="minorEastAsia" w:eastAsiaTheme="minorEastAsia" w:hAnsiTheme="minorEastAsia" w:hint="eastAsia"/>
          <w:b/>
          <w:sz w:val="32"/>
          <w:szCs w:val="32"/>
        </w:rPr>
        <w:t>）精品工程工作情况</w:t>
      </w:r>
    </w:p>
    <w:p w:rsidR="00E43503" w:rsidRDefault="006F4537" w:rsidP="00DB0FB7">
      <w:pPr>
        <w:spacing w:after="0" w:line="360" w:lineRule="auto"/>
        <w:ind w:firstLineChars="250" w:firstLine="800"/>
        <w:jc w:val="both"/>
        <w:rPr>
          <w:rFonts w:ascii="仿宋" w:eastAsia="仿宋" w:hAnsi="仿宋"/>
          <w:bCs/>
          <w:sz w:val="32"/>
          <w:szCs w:val="32"/>
        </w:rPr>
      </w:pPr>
      <w:r w:rsidRPr="006F4537">
        <w:rPr>
          <w:rFonts w:ascii="仿宋" w:eastAsia="仿宋" w:hAnsi="仿宋" w:hint="eastAsia"/>
          <w:sz w:val="32"/>
          <w:szCs w:val="32"/>
        </w:rPr>
        <w:lastRenderedPageBreak/>
        <w:t>自今年年初，</w:t>
      </w:r>
      <w:r w:rsidR="00E43503">
        <w:rPr>
          <w:rFonts w:ascii="仿宋" w:eastAsia="仿宋" w:hAnsi="仿宋" w:hint="eastAsia"/>
          <w:sz w:val="32"/>
          <w:szCs w:val="32"/>
        </w:rPr>
        <w:t>我院积极参与精品工程案例报送和课题研究工作，统一</w:t>
      </w:r>
      <w:r w:rsidRPr="006F4537">
        <w:rPr>
          <w:rFonts w:ascii="仿宋" w:eastAsia="仿宋" w:hAnsi="仿宋" w:hint="eastAsia"/>
          <w:sz w:val="32"/>
          <w:szCs w:val="32"/>
        </w:rPr>
        <w:t>建立台账，将论文和案例报送等工作落实到个人，积极参与论文、年度案例、课题研究、优秀裁判文书和优秀庭审视频评选工作。</w:t>
      </w:r>
      <w:r w:rsidR="00E43503">
        <w:rPr>
          <w:rFonts w:ascii="仿宋" w:eastAsia="仿宋" w:hAnsi="仿宋" w:hint="eastAsia"/>
          <w:sz w:val="32"/>
          <w:szCs w:val="32"/>
        </w:rPr>
        <w:t>上半年</w:t>
      </w:r>
      <w:r w:rsidRPr="006F4537">
        <w:rPr>
          <w:rFonts w:ascii="仿宋" w:eastAsia="仿宋" w:hAnsi="仿宋" w:hint="eastAsia"/>
          <w:sz w:val="32"/>
          <w:szCs w:val="32"/>
        </w:rPr>
        <w:t>，我院已报送年度案例4篇、要</w:t>
      </w:r>
      <w:proofErr w:type="gramStart"/>
      <w:r w:rsidRPr="006F4537">
        <w:rPr>
          <w:rFonts w:ascii="仿宋" w:eastAsia="仿宋" w:hAnsi="仿宋" w:hint="eastAsia"/>
          <w:sz w:val="32"/>
          <w:szCs w:val="32"/>
        </w:rPr>
        <w:t>览</w:t>
      </w:r>
      <w:proofErr w:type="gramEnd"/>
      <w:r w:rsidRPr="006F4537">
        <w:rPr>
          <w:rFonts w:ascii="仿宋" w:eastAsia="仿宋" w:hAnsi="仿宋" w:hint="eastAsia"/>
          <w:sz w:val="32"/>
          <w:szCs w:val="32"/>
        </w:rPr>
        <w:t>案例4篇，马锡五论文1篇、马锡五案例1篇、《习近平法治思想关于政法工作重要论述研究》论文1篇</w:t>
      </w:r>
      <w:r w:rsidR="00E43503">
        <w:rPr>
          <w:rFonts w:ascii="仿宋" w:eastAsia="仿宋" w:hAnsi="仿宋" w:hint="eastAsia"/>
          <w:sz w:val="32"/>
          <w:szCs w:val="32"/>
        </w:rPr>
        <w:t>，每季度</w:t>
      </w:r>
      <w:proofErr w:type="gramStart"/>
      <w:r w:rsidR="00E43503">
        <w:rPr>
          <w:rFonts w:ascii="仿宋" w:eastAsia="仿宋" w:hAnsi="仿宋" w:hint="eastAsia"/>
          <w:sz w:val="32"/>
          <w:szCs w:val="32"/>
        </w:rPr>
        <w:t>报送司改动态</w:t>
      </w:r>
      <w:proofErr w:type="gramEnd"/>
      <w:r w:rsidR="00E43503">
        <w:rPr>
          <w:rFonts w:ascii="仿宋" w:eastAsia="仿宋" w:hAnsi="仿宋" w:hint="eastAsia"/>
          <w:sz w:val="32"/>
          <w:szCs w:val="32"/>
        </w:rPr>
        <w:t>2篇</w:t>
      </w:r>
      <w:r w:rsidRPr="006F4537">
        <w:rPr>
          <w:rFonts w:ascii="仿宋" w:eastAsia="仿宋" w:hAnsi="仿宋" w:hint="eastAsia"/>
          <w:sz w:val="32"/>
          <w:szCs w:val="32"/>
        </w:rPr>
        <w:t>。按照《吉林省延边林区中级法院优秀裁判文书评选实施方案》和《吉林省延边林区中级法院庭审评选实施方案》要求，本院评选出优秀裁判文书4篇、优秀庭审4场，已报送中院参加复评。</w:t>
      </w:r>
      <w:r w:rsidRPr="006F4537">
        <w:rPr>
          <w:rFonts w:ascii="仿宋" w:eastAsia="仿宋" w:hAnsi="仿宋" w:hint="eastAsia"/>
          <w:bCs/>
          <w:sz w:val="32"/>
          <w:szCs w:val="32"/>
        </w:rPr>
        <w:t>根据《吉林省高级人民法院对各中院2022年度环境资源审判工作绩效考核标准》的通知要求，我院案例：被告人刘某某危害珍贵濒危野生动物案，被《吉林法院环境资源典型案例（2021--2022.4）》采纳。</w:t>
      </w:r>
    </w:p>
    <w:p w:rsidR="00DB0FB7" w:rsidRDefault="00A83956" w:rsidP="00DB0FB7">
      <w:pPr>
        <w:spacing w:after="0" w:line="360" w:lineRule="auto"/>
        <w:ind w:firstLineChars="250" w:firstLine="803"/>
        <w:jc w:val="both"/>
        <w:rPr>
          <w:rFonts w:asciiTheme="minorEastAsia" w:eastAsiaTheme="minorEastAsia" w:hAnsiTheme="minorEastAsia"/>
          <w:b/>
          <w:bCs/>
          <w:sz w:val="32"/>
          <w:szCs w:val="32"/>
        </w:rPr>
      </w:pPr>
      <w:r w:rsidRPr="00DB0FB7">
        <w:rPr>
          <w:rFonts w:asciiTheme="minorEastAsia" w:eastAsiaTheme="minorEastAsia" w:hAnsiTheme="minorEastAsia" w:hint="eastAsia"/>
          <w:b/>
          <w:bCs/>
          <w:sz w:val="32"/>
          <w:szCs w:val="32"/>
        </w:rPr>
        <w:t>（十九）优化营商环境工作</w:t>
      </w:r>
    </w:p>
    <w:p w:rsidR="00A83956" w:rsidRPr="00A83956" w:rsidRDefault="009D5D42" w:rsidP="00DB0FB7">
      <w:pPr>
        <w:spacing w:after="0" w:line="360" w:lineRule="auto"/>
        <w:ind w:firstLineChars="250" w:firstLine="800"/>
        <w:jc w:val="both"/>
        <w:rPr>
          <w:rFonts w:ascii="仿宋" w:eastAsia="仿宋" w:hAnsi="仿宋"/>
          <w:bCs/>
          <w:sz w:val="32"/>
          <w:szCs w:val="32"/>
        </w:rPr>
      </w:pPr>
      <w:r>
        <w:rPr>
          <w:rFonts w:ascii="仿宋" w:eastAsia="仿宋" w:hAnsi="仿宋"/>
          <w:bCs/>
          <w:sz w:val="32"/>
          <w:szCs w:val="32"/>
        </w:rPr>
        <w:t>我院</w:t>
      </w:r>
      <w:r w:rsidR="00A83956" w:rsidRPr="00A83956">
        <w:rPr>
          <w:rFonts w:ascii="仿宋" w:eastAsia="仿宋" w:hAnsi="仿宋"/>
          <w:bCs/>
          <w:sz w:val="32"/>
          <w:szCs w:val="32"/>
        </w:rPr>
        <w:t>精心组织企业家座谈会，主动与职能部门对接，结合企业发展所盼和发展所需，积极争取与企业密切相关的行政职能，让企业办事更加省时省心省力。</w:t>
      </w:r>
    </w:p>
    <w:p w:rsidR="00A83956" w:rsidRPr="00A83956" w:rsidRDefault="00A83956" w:rsidP="00A83956">
      <w:pPr>
        <w:spacing w:after="0" w:line="360" w:lineRule="auto"/>
        <w:ind w:firstLineChars="250" w:firstLine="800"/>
        <w:jc w:val="both"/>
        <w:rPr>
          <w:rFonts w:ascii="仿宋" w:eastAsia="仿宋" w:hAnsi="仿宋"/>
          <w:bCs/>
          <w:sz w:val="32"/>
          <w:szCs w:val="32"/>
        </w:rPr>
      </w:pPr>
      <w:r w:rsidRPr="00A83956">
        <w:rPr>
          <w:rFonts w:ascii="仿宋" w:eastAsia="仿宋" w:hAnsi="仿宋" w:hint="eastAsia"/>
          <w:bCs/>
          <w:sz w:val="32"/>
          <w:szCs w:val="32"/>
        </w:rPr>
        <w:t>5月7日</w:t>
      </w:r>
      <w:r>
        <w:rPr>
          <w:rFonts w:ascii="仿宋" w:eastAsia="仿宋" w:hAnsi="仿宋" w:hint="eastAsia"/>
          <w:bCs/>
          <w:sz w:val="32"/>
          <w:szCs w:val="32"/>
        </w:rPr>
        <w:t>，</w:t>
      </w:r>
      <w:r w:rsidRPr="00A83956">
        <w:rPr>
          <w:rFonts w:ascii="仿宋" w:eastAsia="仿宋" w:hAnsi="仿宋" w:hint="eastAsia"/>
          <w:bCs/>
          <w:sz w:val="32"/>
          <w:szCs w:val="32"/>
        </w:rPr>
        <w:t>我院副院长带领干警走进珲春市顺茂物流有限公司，与企业负责人开展以“优化法治化营商环境”为主题的座谈会，</w:t>
      </w:r>
      <w:r w:rsidRPr="00A83956">
        <w:rPr>
          <w:rFonts w:ascii="仿宋" w:eastAsia="仿宋" w:hAnsi="仿宋"/>
          <w:bCs/>
          <w:sz w:val="32"/>
          <w:szCs w:val="32"/>
        </w:rPr>
        <w:t>结合实际案例，对如何保护企业和自身的合法权利、预防重大事故隐患等方面进行了详细的讲解。</w:t>
      </w:r>
    </w:p>
    <w:p w:rsidR="00A83956" w:rsidRPr="00A83956" w:rsidRDefault="00A83956" w:rsidP="00A83956">
      <w:pPr>
        <w:spacing w:after="0" w:line="360" w:lineRule="auto"/>
        <w:ind w:firstLineChars="250" w:firstLine="800"/>
        <w:jc w:val="both"/>
        <w:rPr>
          <w:rFonts w:ascii="仿宋" w:eastAsia="仿宋" w:hAnsi="仿宋"/>
          <w:bCs/>
          <w:sz w:val="32"/>
          <w:szCs w:val="32"/>
        </w:rPr>
      </w:pPr>
      <w:r w:rsidRPr="00A83956">
        <w:rPr>
          <w:rFonts w:ascii="仿宋" w:eastAsia="仿宋" w:hAnsi="仿宋" w:hint="eastAsia"/>
          <w:bCs/>
          <w:sz w:val="32"/>
          <w:szCs w:val="32"/>
        </w:rPr>
        <w:lastRenderedPageBreak/>
        <w:t>5月27日，</w:t>
      </w:r>
      <w:r>
        <w:rPr>
          <w:rFonts w:ascii="仿宋" w:eastAsia="仿宋" w:hAnsi="仿宋" w:hint="eastAsia"/>
          <w:bCs/>
          <w:sz w:val="32"/>
          <w:szCs w:val="32"/>
        </w:rPr>
        <w:t>我院</w:t>
      </w:r>
      <w:r w:rsidRPr="00A83956">
        <w:rPr>
          <w:rFonts w:ascii="仿宋" w:eastAsia="仿宋" w:hAnsi="仿宋" w:hint="eastAsia"/>
          <w:bCs/>
          <w:sz w:val="32"/>
          <w:szCs w:val="32"/>
        </w:rPr>
        <w:t>党组书记、院长郑国荣带领法官们走进珲春森林山木业有限公司开展普法宣传并召开座谈会，为优化企业营商环境，提供精准有力的司法服务。</w:t>
      </w:r>
    </w:p>
    <w:p w:rsidR="00A83956" w:rsidRPr="00A83956" w:rsidRDefault="00A83956" w:rsidP="00A83956">
      <w:pPr>
        <w:spacing w:after="0" w:line="360" w:lineRule="auto"/>
        <w:ind w:firstLineChars="250" w:firstLine="800"/>
        <w:jc w:val="both"/>
        <w:rPr>
          <w:rFonts w:ascii="仿宋" w:eastAsia="仿宋" w:hAnsi="仿宋"/>
          <w:bCs/>
          <w:sz w:val="32"/>
          <w:szCs w:val="32"/>
        </w:rPr>
      </w:pPr>
      <w:r w:rsidRPr="00A83956">
        <w:rPr>
          <w:rFonts w:ascii="仿宋" w:eastAsia="仿宋" w:hAnsi="仿宋" w:hint="eastAsia"/>
          <w:bCs/>
          <w:sz w:val="32"/>
          <w:szCs w:val="32"/>
        </w:rPr>
        <w:t>5月31日</w:t>
      </w:r>
      <w:r>
        <w:rPr>
          <w:rFonts w:ascii="仿宋" w:eastAsia="仿宋" w:hAnsi="仿宋" w:hint="eastAsia"/>
          <w:bCs/>
          <w:sz w:val="32"/>
          <w:szCs w:val="32"/>
        </w:rPr>
        <w:t>，我</w:t>
      </w:r>
      <w:r w:rsidRPr="00A83956">
        <w:rPr>
          <w:rFonts w:ascii="仿宋" w:eastAsia="仿宋" w:hAnsi="仿宋" w:hint="eastAsia"/>
          <w:bCs/>
          <w:sz w:val="32"/>
          <w:szCs w:val="32"/>
        </w:rPr>
        <w:t>院党组书记、院长郑国荣带领法官们来到珲春林业有限公司召开座谈会，向企业领导和</w:t>
      </w:r>
      <w:r>
        <w:rPr>
          <w:rFonts w:ascii="仿宋" w:eastAsia="仿宋" w:hAnsi="仿宋" w:hint="eastAsia"/>
          <w:bCs/>
          <w:sz w:val="32"/>
          <w:szCs w:val="32"/>
        </w:rPr>
        <w:t>职工宣讲了最新的法律法规便民利企的举措、创新服务形式和服务机制，</w:t>
      </w:r>
      <w:r w:rsidRPr="00A83956">
        <w:rPr>
          <w:rFonts w:ascii="仿宋" w:eastAsia="仿宋" w:hAnsi="仿宋" w:hint="eastAsia"/>
          <w:bCs/>
          <w:sz w:val="32"/>
          <w:szCs w:val="32"/>
        </w:rPr>
        <w:t>重点对对外债权债务诉讼流程中遇到的难题、法律适用等问题，结合具体案例、裁判热点和难点进行了详细的分析与解答。</w:t>
      </w:r>
    </w:p>
    <w:p w:rsidR="006F4537" w:rsidRDefault="00A83956" w:rsidP="00A83956">
      <w:pPr>
        <w:spacing w:after="0" w:line="360" w:lineRule="auto"/>
        <w:ind w:firstLineChars="250" w:firstLine="800"/>
        <w:jc w:val="both"/>
        <w:rPr>
          <w:rFonts w:ascii="仿宋" w:eastAsia="仿宋" w:hAnsi="仿宋"/>
          <w:bCs/>
          <w:sz w:val="32"/>
          <w:szCs w:val="32"/>
        </w:rPr>
      </w:pPr>
      <w:r w:rsidRPr="00A83956">
        <w:rPr>
          <w:rFonts w:ascii="仿宋" w:eastAsia="仿宋" w:hAnsi="仿宋" w:hint="eastAsia"/>
          <w:bCs/>
          <w:sz w:val="32"/>
          <w:szCs w:val="32"/>
        </w:rPr>
        <w:t>6月2日，</w:t>
      </w:r>
      <w:proofErr w:type="gramStart"/>
      <w:r w:rsidRPr="00A83956">
        <w:rPr>
          <w:rFonts w:ascii="仿宋" w:eastAsia="仿宋" w:hAnsi="仿宋" w:hint="eastAsia"/>
          <w:bCs/>
          <w:sz w:val="32"/>
          <w:szCs w:val="32"/>
        </w:rPr>
        <w:t>法官干警</w:t>
      </w:r>
      <w:proofErr w:type="gramEnd"/>
      <w:r w:rsidRPr="00A83956">
        <w:rPr>
          <w:rFonts w:ascii="仿宋" w:eastAsia="仿宋" w:hAnsi="仿宋" w:hint="eastAsia"/>
          <w:bCs/>
          <w:sz w:val="32"/>
          <w:szCs w:val="32"/>
        </w:rPr>
        <w:t>一行四人来到珲春林业有限公司，与珲春林业有限公司政法委、信访办等部门负责人，围绕“院企联动”，开展《信访工作条例》进企业宣传活动,并开展座谈交流，会中积极引导企业及员工、辖区群众</w:t>
      </w:r>
      <w:r>
        <w:rPr>
          <w:rFonts w:ascii="仿宋" w:eastAsia="仿宋" w:hAnsi="仿宋" w:hint="eastAsia"/>
          <w:bCs/>
          <w:sz w:val="32"/>
          <w:szCs w:val="32"/>
        </w:rPr>
        <w:t>学会通过正当途径合理合法的表达诉求、维护企业权利、自身利益，</w:t>
      </w:r>
      <w:r w:rsidRPr="00A83956">
        <w:rPr>
          <w:rFonts w:ascii="仿宋" w:eastAsia="仿宋" w:hAnsi="仿宋" w:hint="eastAsia"/>
          <w:bCs/>
          <w:sz w:val="32"/>
          <w:szCs w:val="32"/>
        </w:rPr>
        <w:t>增强企业及员工、辖区</w:t>
      </w:r>
      <w:r>
        <w:rPr>
          <w:rFonts w:ascii="仿宋" w:eastAsia="仿宋" w:hAnsi="仿宋" w:hint="eastAsia"/>
          <w:bCs/>
          <w:sz w:val="32"/>
          <w:szCs w:val="32"/>
        </w:rPr>
        <w:t>群众的依法信访意识</w:t>
      </w:r>
      <w:r w:rsidRPr="00A83956">
        <w:rPr>
          <w:rFonts w:ascii="仿宋" w:eastAsia="仿宋" w:hAnsi="仿宋" w:hint="eastAsia"/>
          <w:bCs/>
          <w:sz w:val="32"/>
          <w:szCs w:val="32"/>
        </w:rPr>
        <w:t>。</w:t>
      </w:r>
    </w:p>
    <w:p w:rsidR="00A83956" w:rsidRPr="00A83956" w:rsidRDefault="00A83956" w:rsidP="00A83956">
      <w:pPr>
        <w:spacing w:after="0" w:line="360" w:lineRule="auto"/>
        <w:ind w:firstLineChars="250" w:firstLine="800"/>
        <w:jc w:val="both"/>
        <w:rPr>
          <w:rFonts w:ascii="黑体" w:eastAsia="黑体" w:hAnsi="黑体"/>
          <w:bCs/>
          <w:sz w:val="32"/>
          <w:szCs w:val="32"/>
        </w:rPr>
      </w:pPr>
      <w:r w:rsidRPr="00A83956">
        <w:rPr>
          <w:rFonts w:ascii="黑体" w:eastAsia="黑体" w:hAnsi="黑体" w:hint="eastAsia"/>
          <w:bCs/>
          <w:sz w:val="32"/>
          <w:szCs w:val="32"/>
        </w:rPr>
        <w:t>六、下一步工作计划</w:t>
      </w:r>
    </w:p>
    <w:p w:rsidR="00D83670" w:rsidRPr="00ED0AFB" w:rsidRDefault="00ED0AFB" w:rsidP="00DB0FB7">
      <w:pPr>
        <w:spacing w:after="0" w:line="360" w:lineRule="auto"/>
        <w:ind w:firstLineChars="200" w:firstLine="640"/>
        <w:jc w:val="both"/>
        <w:rPr>
          <w:rFonts w:ascii="仿宋" w:eastAsia="仿宋" w:hAnsi="仿宋"/>
          <w:sz w:val="32"/>
          <w:szCs w:val="32"/>
        </w:rPr>
      </w:pPr>
      <w:r>
        <w:rPr>
          <w:rFonts w:ascii="仿宋" w:eastAsia="仿宋" w:hAnsi="仿宋" w:hint="eastAsia"/>
          <w:sz w:val="32"/>
          <w:szCs w:val="32"/>
        </w:rPr>
        <w:t>（一）提高案件审判质量。</w:t>
      </w:r>
      <w:r w:rsidR="004F4FE7">
        <w:rPr>
          <w:rFonts w:ascii="仿宋" w:eastAsia="仿宋" w:hAnsi="仿宋" w:hint="eastAsia"/>
          <w:sz w:val="32"/>
          <w:szCs w:val="32"/>
        </w:rPr>
        <w:t>1-</w:t>
      </w:r>
      <w:r w:rsidR="00A83956">
        <w:rPr>
          <w:rFonts w:ascii="仿宋" w:eastAsia="仿宋" w:hAnsi="仿宋" w:hint="eastAsia"/>
          <w:sz w:val="32"/>
          <w:szCs w:val="32"/>
        </w:rPr>
        <w:t>6</w:t>
      </w:r>
      <w:r w:rsidR="00B61E1A">
        <w:rPr>
          <w:rFonts w:ascii="仿宋" w:eastAsia="仿宋" w:hAnsi="仿宋" w:hint="eastAsia"/>
          <w:sz w:val="32"/>
          <w:szCs w:val="32"/>
        </w:rPr>
        <w:t>月我院各项指标中</w:t>
      </w:r>
      <w:r w:rsidR="00A83956">
        <w:rPr>
          <w:rFonts w:ascii="仿宋" w:eastAsia="仿宋" w:hAnsi="仿宋" w:hint="eastAsia"/>
          <w:sz w:val="32"/>
          <w:szCs w:val="32"/>
        </w:rPr>
        <w:t>一审</w:t>
      </w:r>
      <w:r w:rsidR="00B61E1A">
        <w:rPr>
          <w:rFonts w:ascii="仿宋" w:eastAsia="仿宋" w:hAnsi="仿宋" w:hint="eastAsia"/>
          <w:sz w:val="32"/>
          <w:szCs w:val="32"/>
        </w:rPr>
        <w:t>案件服判息诉率、</w:t>
      </w:r>
      <w:r w:rsidR="00A83956">
        <w:rPr>
          <w:rFonts w:ascii="仿宋" w:eastAsia="仿宋" w:hAnsi="仿宋" w:hint="eastAsia"/>
          <w:sz w:val="32"/>
          <w:szCs w:val="32"/>
        </w:rPr>
        <w:t>简易程序适用率偏低</w:t>
      </w:r>
      <w:r w:rsidR="00B61E1A">
        <w:rPr>
          <w:rFonts w:ascii="仿宋" w:eastAsia="仿宋" w:hAnsi="仿宋" w:hint="eastAsia"/>
          <w:sz w:val="32"/>
          <w:szCs w:val="32"/>
        </w:rPr>
        <w:t>、</w:t>
      </w:r>
      <w:proofErr w:type="gramStart"/>
      <w:r w:rsidR="00A83956">
        <w:rPr>
          <w:rFonts w:ascii="仿宋" w:eastAsia="仿宋" w:hAnsi="仿宋" w:hint="eastAsia"/>
          <w:sz w:val="32"/>
          <w:szCs w:val="32"/>
        </w:rPr>
        <w:t>发改率</w:t>
      </w:r>
      <w:proofErr w:type="gramEnd"/>
      <w:r w:rsidR="00A83956">
        <w:rPr>
          <w:rFonts w:ascii="仿宋" w:eastAsia="仿宋" w:hAnsi="仿宋" w:hint="eastAsia"/>
          <w:sz w:val="32"/>
          <w:szCs w:val="32"/>
        </w:rPr>
        <w:t>偏高。除客观原因案件数量少，造成基础比率偏低外，</w:t>
      </w:r>
      <w:r w:rsidR="00297225">
        <w:rPr>
          <w:rFonts w:ascii="仿宋" w:eastAsia="仿宋" w:hAnsi="仿宋" w:hint="eastAsia"/>
          <w:sz w:val="32"/>
          <w:szCs w:val="32"/>
        </w:rPr>
        <w:t>需加强责任意识，提高案件质量。</w:t>
      </w:r>
      <w:r w:rsidR="00B620C4">
        <w:rPr>
          <w:rFonts w:ascii="仿宋" w:eastAsia="仿宋" w:hAnsi="仿宋" w:hint="eastAsia"/>
          <w:sz w:val="32"/>
          <w:szCs w:val="32"/>
        </w:rPr>
        <w:t>下一步争取在第</w:t>
      </w:r>
      <w:r w:rsidR="00297225">
        <w:rPr>
          <w:rFonts w:ascii="仿宋" w:eastAsia="仿宋" w:hAnsi="仿宋" w:hint="eastAsia"/>
          <w:sz w:val="32"/>
          <w:szCs w:val="32"/>
        </w:rPr>
        <w:t>三</w:t>
      </w:r>
      <w:r w:rsidR="00B620C4">
        <w:rPr>
          <w:rFonts w:ascii="仿宋" w:eastAsia="仿宋" w:hAnsi="仿宋" w:hint="eastAsia"/>
          <w:sz w:val="32"/>
          <w:szCs w:val="32"/>
        </w:rPr>
        <w:t>季度</w:t>
      </w:r>
      <w:r w:rsidR="00297225">
        <w:rPr>
          <w:rFonts w:ascii="仿宋" w:eastAsia="仿宋" w:hAnsi="仿宋" w:hint="eastAsia"/>
          <w:sz w:val="32"/>
          <w:szCs w:val="32"/>
        </w:rPr>
        <w:t>提高落后指标</w:t>
      </w:r>
      <w:r w:rsidR="00B620C4">
        <w:rPr>
          <w:rFonts w:ascii="仿宋" w:eastAsia="仿宋" w:hAnsi="仿宋" w:hint="eastAsia"/>
          <w:sz w:val="32"/>
          <w:szCs w:val="32"/>
        </w:rPr>
        <w:t>，</w:t>
      </w:r>
      <w:r w:rsidR="00B61E1A">
        <w:rPr>
          <w:rFonts w:ascii="仿宋" w:eastAsia="仿宋" w:hAnsi="仿宋" w:hint="eastAsia"/>
          <w:sz w:val="32"/>
          <w:szCs w:val="32"/>
        </w:rPr>
        <w:t>同时，</w:t>
      </w:r>
      <w:r>
        <w:rPr>
          <w:rFonts w:ascii="仿宋" w:eastAsia="仿宋" w:hAnsi="仿宋" w:hint="eastAsia"/>
          <w:sz w:val="32"/>
          <w:szCs w:val="32"/>
        </w:rPr>
        <w:t>坚持做到质量与效率统一，尽量避免判决案件上诉、被改判、发回重审。</w:t>
      </w:r>
    </w:p>
    <w:p w:rsidR="00D83670" w:rsidRDefault="00D83670" w:rsidP="00297225">
      <w:pPr>
        <w:spacing w:after="0" w:line="360" w:lineRule="auto"/>
        <w:ind w:firstLineChars="200" w:firstLine="640"/>
        <w:jc w:val="both"/>
        <w:rPr>
          <w:rFonts w:ascii="仿宋" w:eastAsia="仿宋" w:hAnsi="仿宋"/>
          <w:sz w:val="32"/>
          <w:szCs w:val="32"/>
        </w:rPr>
      </w:pPr>
      <w:r>
        <w:rPr>
          <w:rFonts w:ascii="仿宋" w:eastAsia="仿宋" w:hAnsi="仿宋"/>
          <w:sz w:val="32"/>
          <w:szCs w:val="32"/>
        </w:rPr>
        <w:t>（二）</w:t>
      </w:r>
      <w:r w:rsidR="006D13A9">
        <w:rPr>
          <w:rFonts w:ascii="仿宋" w:eastAsia="仿宋" w:hAnsi="仿宋"/>
          <w:sz w:val="32"/>
          <w:szCs w:val="32"/>
        </w:rPr>
        <w:t>加强案件质量评查。</w:t>
      </w:r>
      <w:r w:rsidR="006D13A9" w:rsidRPr="006D13A9">
        <w:rPr>
          <w:rFonts w:ascii="仿宋" w:eastAsia="仿宋" w:hAnsi="仿宋" w:hint="eastAsia"/>
          <w:sz w:val="32"/>
          <w:szCs w:val="32"/>
        </w:rPr>
        <w:t>案件质量评查是</w:t>
      </w:r>
      <w:r w:rsidR="006D13A9">
        <w:rPr>
          <w:rFonts w:ascii="仿宋" w:eastAsia="仿宋" w:hAnsi="仿宋" w:hint="eastAsia"/>
          <w:sz w:val="32"/>
          <w:szCs w:val="32"/>
        </w:rPr>
        <w:t>法院</w:t>
      </w:r>
      <w:r w:rsidR="006D13A9" w:rsidRPr="006D13A9">
        <w:rPr>
          <w:rFonts w:ascii="仿宋" w:eastAsia="仿宋" w:hAnsi="仿宋" w:hint="eastAsia"/>
          <w:sz w:val="32"/>
          <w:szCs w:val="32"/>
        </w:rPr>
        <w:t>加强案件质量监督的一项重要工作，</w:t>
      </w:r>
      <w:r w:rsidR="006D13A9">
        <w:rPr>
          <w:rFonts w:ascii="仿宋" w:eastAsia="仿宋" w:hAnsi="仿宋" w:hint="eastAsia"/>
          <w:sz w:val="32"/>
          <w:szCs w:val="32"/>
        </w:rPr>
        <w:t>应当坚持全面审查原则，遵循实体与程序并</w:t>
      </w:r>
      <w:r w:rsidR="006D13A9">
        <w:rPr>
          <w:rFonts w:ascii="仿宋" w:eastAsia="仿宋" w:hAnsi="仿宋" w:hint="eastAsia"/>
          <w:sz w:val="32"/>
          <w:szCs w:val="32"/>
        </w:rPr>
        <w:lastRenderedPageBreak/>
        <w:t>重，重点围绕证据采信、事实认定、程序执行、法律适用、实体处理、庭审情况、裁判文书制作与释法明理、审判作风、社会效果等方面进行全面评查</w:t>
      </w:r>
      <w:r w:rsidR="006D13A9" w:rsidRPr="006D13A9">
        <w:rPr>
          <w:rFonts w:ascii="仿宋" w:eastAsia="仿宋" w:hAnsi="仿宋" w:hint="eastAsia"/>
          <w:sz w:val="32"/>
          <w:szCs w:val="32"/>
        </w:rPr>
        <w:t>。</w:t>
      </w:r>
      <w:r w:rsidR="006D13A9">
        <w:rPr>
          <w:rFonts w:ascii="仿宋" w:eastAsia="仿宋" w:hAnsi="仿宋" w:hint="eastAsia"/>
          <w:sz w:val="32"/>
          <w:szCs w:val="32"/>
        </w:rPr>
        <w:t>下一步，除三类重点案件的质量评查外，加强对一审刑事、民事等诉讼案件的案件评查工作。</w:t>
      </w:r>
    </w:p>
    <w:p w:rsidR="007565F6" w:rsidRDefault="006D13A9" w:rsidP="00E85FE2">
      <w:pPr>
        <w:spacing w:after="0" w:line="360" w:lineRule="auto"/>
        <w:ind w:firstLineChars="200" w:firstLine="640"/>
        <w:jc w:val="both"/>
        <w:rPr>
          <w:rFonts w:ascii="仿宋" w:eastAsia="仿宋" w:hAnsi="仿宋"/>
          <w:sz w:val="32"/>
          <w:szCs w:val="32"/>
        </w:rPr>
      </w:pPr>
      <w:r>
        <w:rPr>
          <w:rFonts w:ascii="仿宋" w:eastAsia="仿宋" w:hAnsi="仿宋" w:hint="eastAsia"/>
          <w:sz w:val="32"/>
          <w:szCs w:val="32"/>
        </w:rPr>
        <w:t>（三）</w:t>
      </w:r>
      <w:r w:rsidRPr="006D13A9">
        <w:rPr>
          <w:rFonts w:ascii="仿宋" w:eastAsia="仿宋" w:hAnsi="仿宋"/>
          <w:sz w:val="32"/>
          <w:szCs w:val="32"/>
        </w:rPr>
        <w:t>严格裁判文书上网和庭审直播审查</w:t>
      </w:r>
      <w:r w:rsidR="00DB0FB7">
        <w:rPr>
          <w:rFonts w:ascii="仿宋" w:eastAsia="仿宋" w:hAnsi="仿宋"/>
          <w:sz w:val="32"/>
          <w:szCs w:val="32"/>
        </w:rPr>
        <w:t>。</w:t>
      </w:r>
      <w:r w:rsidRPr="006D13A9">
        <w:rPr>
          <w:rFonts w:ascii="仿宋" w:eastAsia="仿宋" w:hAnsi="仿宋"/>
          <w:sz w:val="32"/>
          <w:szCs w:val="32"/>
        </w:rPr>
        <w:t>坚决杜绝敏感案</w:t>
      </w:r>
      <w:r w:rsidR="00DB0FB7">
        <w:rPr>
          <w:rFonts w:ascii="仿宋" w:eastAsia="仿宋" w:hAnsi="仿宋"/>
          <w:sz w:val="32"/>
          <w:szCs w:val="32"/>
        </w:rPr>
        <w:t>件信息泄露传播引发负面舆情。进一步增强风险和忧患意识</w:t>
      </w:r>
      <w:r w:rsidRPr="006D13A9">
        <w:rPr>
          <w:rFonts w:ascii="仿宋" w:eastAsia="仿宋" w:hAnsi="仿宋"/>
          <w:sz w:val="32"/>
          <w:szCs w:val="32"/>
        </w:rPr>
        <w:t>，全面排查上网文书</w:t>
      </w:r>
      <w:r w:rsidR="00DB0FB7">
        <w:rPr>
          <w:rFonts w:ascii="仿宋" w:eastAsia="仿宋" w:hAnsi="仿宋"/>
          <w:sz w:val="32"/>
          <w:szCs w:val="32"/>
        </w:rPr>
        <w:t>和庭审视频，对低质量、高风险、涉及敏感问题、个人隐私等</w:t>
      </w:r>
      <w:r w:rsidRPr="006D13A9">
        <w:rPr>
          <w:rFonts w:ascii="仿宋" w:eastAsia="仿宋" w:hAnsi="仿宋"/>
          <w:sz w:val="32"/>
          <w:szCs w:val="32"/>
        </w:rPr>
        <w:t>文书</w:t>
      </w:r>
      <w:r w:rsidR="00DB0FB7">
        <w:rPr>
          <w:rFonts w:ascii="仿宋" w:eastAsia="仿宋" w:hAnsi="仿宋"/>
          <w:sz w:val="32"/>
          <w:szCs w:val="32"/>
        </w:rPr>
        <w:t>和庭审视频</w:t>
      </w:r>
      <w:r w:rsidRPr="006D13A9">
        <w:rPr>
          <w:rFonts w:ascii="仿宋" w:eastAsia="仿宋" w:hAnsi="仿宋"/>
          <w:sz w:val="32"/>
          <w:szCs w:val="32"/>
        </w:rPr>
        <w:t>一律撤回。</w:t>
      </w:r>
    </w:p>
    <w:p w:rsidR="00E85FE2" w:rsidRDefault="00E85FE2" w:rsidP="00C04342">
      <w:pPr>
        <w:spacing w:after="0" w:line="360" w:lineRule="auto"/>
        <w:ind w:firstLineChars="1900" w:firstLine="6080"/>
        <w:jc w:val="both"/>
        <w:rPr>
          <w:rFonts w:ascii="仿宋" w:eastAsia="仿宋" w:hAnsi="仿宋"/>
          <w:sz w:val="32"/>
          <w:szCs w:val="32"/>
        </w:rPr>
      </w:pPr>
    </w:p>
    <w:p w:rsidR="00E85FE2" w:rsidRDefault="00E85FE2" w:rsidP="00C04342">
      <w:pPr>
        <w:spacing w:after="0" w:line="360" w:lineRule="auto"/>
        <w:ind w:firstLineChars="1900" w:firstLine="6080"/>
        <w:jc w:val="both"/>
        <w:rPr>
          <w:rFonts w:ascii="仿宋" w:eastAsia="仿宋" w:hAnsi="仿宋"/>
          <w:sz w:val="32"/>
          <w:szCs w:val="32"/>
        </w:rPr>
      </w:pPr>
    </w:p>
    <w:p w:rsidR="00203706" w:rsidRDefault="00203706" w:rsidP="00C04342">
      <w:pPr>
        <w:spacing w:after="0" w:line="360" w:lineRule="auto"/>
        <w:ind w:firstLineChars="1900" w:firstLine="6080"/>
        <w:jc w:val="both"/>
        <w:rPr>
          <w:rFonts w:ascii="仿宋" w:eastAsia="仿宋" w:hAnsi="仿宋"/>
          <w:sz w:val="32"/>
          <w:szCs w:val="32"/>
        </w:rPr>
      </w:pPr>
      <w:r>
        <w:rPr>
          <w:rFonts w:ascii="仿宋" w:eastAsia="仿宋" w:hAnsi="仿宋" w:hint="eastAsia"/>
          <w:sz w:val="32"/>
          <w:szCs w:val="32"/>
        </w:rPr>
        <w:t>珲春林区基层法院</w:t>
      </w:r>
    </w:p>
    <w:p w:rsidR="00203706" w:rsidRPr="00203706" w:rsidRDefault="009D5D42" w:rsidP="007B56F5">
      <w:pPr>
        <w:spacing w:after="0" w:line="360" w:lineRule="auto"/>
        <w:ind w:firstLineChars="1850" w:firstLine="5920"/>
        <w:jc w:val="both"/>
        <w:rPr>
          <w:rFonts w:ascii="仿宋" w:eastAsia="仿宋" w:hAnsi="仿宋"/>
          <w:sz w:val="32"/>
          <w:szCs w:val="32"/>
        </w:rPr>
      </w:pPr>
      <w:r>
        <w:rPr>
          <w:rFonts w:ascii="仿宋" w:eastAsia="仿宋" w:hAnsi="仿宋" w:hint="eastAsia"/>
          <w:sz w:val="32"/>
          <w:szCs w:val="32"/>
        </w:rPr>
        <w:t>二〇二二</w:t>
      </w:r>
      <w:r w:rsidR="00203706">
        <w:rPr>
          <w:rFonts w:ascii="仿宋" w:eastAsia="仿宋" w:hAnsi="仿宋" w:hint="eastAsia"/>
          <w:sz w:val="32"/>
          <w:szCs w:val="32"/>
        </w:rPr>
        <w:t>年</w:t>
      </w:r>
      <w:r w:rsidR="00DB0FB7">
        <w:rPr>
          <w:rFonts w:ascii="仿宋" w:eastAsia="仿宋" w:hAnsi="仿宋" w:hint="eastAsia"/>
          <w:sz w:val="32"/>
          <w:szCs w:val="32"/>
        </w:rPr>
        <w:t>七</w:t>
      </w:r>
      <w:r w:rsidR="007B56F5">
        <w:rPr>
          <w:rFonts w:ascii="仿宋" w:eastAsia="仿宋" w:hAnsi="仿宋" w:hint="eastAsia"/>
          <w:sz w:val="32"/>
          <w:szCs w:val="32"/>
        </w:rPr>
        <w:t>月</w:t>
      </w:r>
      <w:r w:rsidR="00DB0FB7">
        <w:rPr>
          <w:rFonts w:ascii="仿宋" w:eastAsia="仿宋" w:hAnsi="仿宋" w:hint="eastAsia"/>
          <w:sz w:val="32"/>
          <w:szCs w:val="32"/>
        </w:rPr>
        <w:t>五</w:t>
      </w:r>
      <w:r w:rsidR="00203706">
        <w:rPr>
          <w:rFonts w:ascii="仿宋" w:eastAsia="仿宋" w:hAnsi="仿宋" w:hint="eastAsia"/>
          <w:sz w:val="32"/>
          <w:szCs w:val="32"/>
        </w:rPr>
        <w:t>日</w:t>
      </w:r>
    </w:p>
    <w:sectPr w:rsidR="00203706" w:rsidRPr="00203706" w:rsidSect="009D5D42">
      <w:headerReference w:type="default" r:id="rId11"/>
      <w:footerReference w:type="default" r:id="rId12"/>
      <w:pgSz w:w="11906" w:h="16838"/>
      <w:pgMar w:top="1474" w:right="1247" w:bottom="1474"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1D2" w:rsidRDefault="003541D2" w:rsidP="006F22F7">
      <w:pPr>
        <w:spacing w:after="0"/>
      </w:pPr>
      <w:r>
        <w:separator/>
      </w:r>
    </w:p>
  </w:endnote>
  <w:endnote w:type="continuationSeparator" w:id="0">
    <w:p w:rsidR="003541D2" w:rsidRDefault="003541D2" w:rsidP="006F22F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4439"/>
    </w:sdtPr>
    <w:sdtContent>
      <w:p w:rsidR="00B97C70" w:rsidRDefault="006B636B">
        <w:pPr>
          <w:pStyle w:val="a5"/>
          <w:jc w:val="center"/>
        </w:pPr>
        <w:r w:rsidRPr="006B636B">
          <w:fldChar w:fldCharType="begin"/>
        </w:r>
        <w:r w:rsidR="00B97C70">
          <w:instrText xml:space="preserve"> PAGE   \* MERGEFORMAT </w:instrText>
        </w:r>
        <w:r w:rsidRPr="006B636B">
          <w:fldChar w:fldCharType="separate"/>
        </w:r>
        <w:r w:rsidR="003B5251" w:rsidRPr="003B5251">
          <w:rPr>
            <w:noProof/>
            <w:lang w:val="zh-CN"/>
          </w:rPr>
          <w:t>1</w:t>
        </w:r>
        <w:r>
          <w:rPr>
            <w:lang w:val="zh-CN"/>
          </w:rPr>
          <w:fldChar w:fldCharType="end"/>
        </w:r>
      </w:p>
    </w:sdtContent>
  </w:sdt>
  <w:p w:rsidR="00B97C70" w:rsidRDefault="00B97C7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1D2" w:rsidRDefault="003541D2" w:rsidP="006F22F7">
      <w:pPr>
        <w:spacing w:after="0"/>
      </w:pPr>
      <w:r>
        <w:separator/>
      </w:r>
    </w:p>
  </w:footnote>
  <w:footnote w:type="continuationSeparator" w:id="0">
    <w:p w:rsidR="003541D2" w:rsidRDefault="003541D2" w:rsidP="006F22F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C70" w:rsidRDefault="00B97C70" w:rsidP="00B16F43">
    <w:pPr>
      <w:pStyle w:val="a6"/>
      <w:pBdr>
        <w:bottom w:val="none" w:sz="0" w:space="0" w:color="auto"/>
      </w:pBdr>
      <w:jc w:val="lef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73730"/>
  </w:hdrShapeDefaults>
  <w:footnotePr>
    <w:footnote w:id="-1"/>
    <w:footnote w:id="0"/>
  </w:footnotePr>
  <w:endnotePr>
    <w:endnote w:id="-1"/>
    <w:endnote w:id="0"/>
  </w:endnotePr>
  <w:compat>
    <w:useFELayout/>
  </w:compat>
  <w:rsids>
    <w:rsidRoot w:val="00D31D50"/>
    <w:rsid w:val="00000C96"/>
    <w:rsid w:val="00002227"/>
    <w:rsid w:val="0000260B"/>
    <w:rsid w:val="00002DD0"/>
    <w:rsid w:val="00006125"/>
    <w:rsid w:val="00013208"/>
    <w:rsid w:val="00015B1E"/>
    <w:rsid w:val="0001603F"/>
    <w:rsid w:val="000178F4"/>
    <w:rsid w:val="00020C88"/>
    <w:rsid w:val="0002130E"/>
    <w:rsid w:val="00022114"/>
    <w:rsid w:val="00023A88"/>
    <w:rsid w:val="000247E1"/>
    <w:rsid w:val="00024996"/>
    <w:rsid w:val="000259F6"/>
    <w:rsid w:val="0002604C"/>
    <w:rsid w:val="00026717"/>
    <w:rsid w:val="00031E27"/>
    <w:rsid w:val="000340D8"/>
    <w:rsid w:val="0003509F"/>
    <w:rsid w:val="00035255"/>
    <w:rsid w:val="0004168F"/>
    <w:rsid w:val="0004312D"/>
    <w:rsid w:val="00046094"/>
    <w:rsid w:val="00047075"/>
    <w:rsid w:val="00047312"/>
    <w:rsid w:val="00050D06"/>
    <w:rsid w:val="0005100B"/>
    <w:rsid w:val="0005208F"/>
    <w:rsid w:val="000531AA"/>
    <w:rsid w:val="00053A8F"/>
    <w:rsid w:val="00053E01"/>
    <w:rsid w:val="00054D5B"/>
    <w:rsid w:val="00057096"/>
    <w:rsid w:val="00062332"/>
    <w:rsid w:val="00062E0A"/>
    <w:rsid w:val="00063D4C"/>
    <w:rsid w:val="00064B17"/>
    <w:rsid w:val="00064FD7"/>
    <w:rsid w:val="00065BF0"/>
    <w:rsid w:val="000668DA"/>
    <w:rsid w:val="00067E11"/>
    <w:rsid w:val="000725B7"/>
    <w:rsid w:val="00073073"/>
    <w:rsid w:val="00073D3C"/>
    <w:rsid w:val="00074771"/>
    <w:rsid w:val="00075718"/>
    <w:rsid w:val="00083F9D"/>
    <w:rsid w:val="00084C73"/>
    <w:rsid w:val="00086A12"/>
    <w:rsid w:val="000879E8"/>
    <w:rsid w:val="00087C9B"/>
    <w:rsid w:val="00090EA0"/>
    <w:rsid w:val="00091877"/>
    <w:rsid w:val="000942A5"/>
    <w:rsid w:val="00094773"/>
    <w:rsid w:val="00094888"/>
    <w:rsid w:val="00094DD4"/>
    <w:rsid w:val="00095201"/>
    <w:rsid w:val="00096738"/>
    <w:rsid w:val="00097462"/>
    <w:rsid w:val="000976BA"/>
    <w:rsid w:val="000A01C9"/>
    <w:rsid w:val="000A1307"/>
    <w:rsid w:val="000A4330"/>
    <w:rsid w:val="000A5189"/>
    <w:rsid w:val="000A5FDC"/>
    <w:rsid w:val="000A7B90"/>
    <w:rsid w:val="000B1065"/>
    <w:rsid w:val="000B144A"/>
    <w:rsid w:val="000B14CB"/>
    <w:rsid w:val="000B14FC"/>
    <w:rsid w:val="000B1F19"/>
    <w:rsid w:val="000B33DF"/>
    <w:rsid w:val="000B542B"/>
    <w:rsid w:val="000C1987"/>
    <w:rsid w:val="000C3445"/>
    <w:rsid w:val="000C4A73"/>
    <w:rsid w:val="000C57C5"/>
    <w:rsid w:val="000D001A"/>
    <w:rsid w:val="000D06D6"/>
    <w:rsid w:val="000D4D78"/>
    <w:rsid w:val="000D67BD"/>
    <w:rsid w:val="000D6FA6"/>
    <w:rsid w:val="000E10FE"/>
    <w:rsid w:val="000E2918"/>
    <w:rsid w:val="000E39FF"/>
    <w:rsid w:val="000E4155"/>
    <w:rsid w:val="000E5187"/>
    <w:rsid w:val="000E7BCB"/>
    <w:rsid w:val="000F120A"/>
    <w:rsid w:val="000F297E"/>
    <w:rsid w:val="000F57AB"/>
    <w:rsid w:val="000F65B3"/>
    <w:rsid w:val="000F7DB8"/>
    <w:rsid w:val="001000C3"/>
    <w:rsid w:val="00100F9D"/>
    <w:rsid w:val="0010324C"/>
    <w:rsid w:val="00103469"/>
    <w:rsid w:val="0010358D"/>
    <w:rsid w:val="0010508A"/>
    <w:rsid w:val="00106016"/>
    <w:rsid w:val="00110CF8"/>
    <w:rsid w:val="0011138E"/>
    <w:rsid w:val="0011391A"/>
    <w:rsid w:val="00114BB8"/>
    <w:rsid w:val="0011542F"/>
    <w:rsid w:val="00115A0B"/>
    <w:rsid w:val="00115E62"/>
    <w:rsid w:val="00117DFE"/>
    <w:rsid w:val="00117E35"/>
    <w:rsid w:val="00120AB6"/>
    <w:rsid w:val="00123F63"/>
    <w:rsid w:val="00126569"/>
    <w:rsid w:val="0012659C"/>
    <w:rsid w:val="00127A6D"/>
    <w:rsid w:val="00127ED8"/>
    <w:rsid w:val="001327A1"/>
    <w:rsid w:val="00132E12"/>
    <w:rsid w:val="00133B19"/>
    <w:rsid w:val="00133DB5"/>
    <w:rsid w:val="001345F5"/>
    <w:rsid w:val="00134B18"/>
    <w:rsid w:val="00141D64"/>
    <w:rsid w:val="00150F9E"/>
    <w:rsid w:val="00151BE3"/>
    <w:rsid w:val="00155827"/>
    <w:rsid w:val="0015632C"/>
    <w:rsid w:val="0015748F"/>
    <w:rsid w:val="00160613"/>
    <w:rsid w:val="00161267"/>
    <w:rsid w:val="0016257B"/>
    <w:rsid w:val="001633F2"/>
    <w:rsid w:val="00163DB5"/>
    <w:rsid w:val="001663DB"/>
    <w:rsid w:val="001710D1"/>
    <w:rsid w:val="00176463"/>
    <w:rsid w:val="00177801"/>
    <w:rsid w:val="00177BDA"/>
    <w:rsid w:val="001843C4"/>
    <w:rsid w:val="00184545"/>
    <w:rsid w:val="00185D95"/>
    <w:rsid w:val="00186B3D"/>
    <w:rsid w:val="001879B9"/>
    <w:rsid w:val="00187D2D"/>
    <w:rsid w:val="00190982"/>
    <w:rsid w:val="0019487B"/>
    <w:rsid w:val="001A1D17"/>
    <w:rsid w:val="001A5F27"/>
    <w:rsid w:val="001A77A7"/>
    <w:rsid w:val="001B21B7"/>
    <w:rsid w:val="001B273C"/>
    <w:rsid w:val="001B3C91"/>
    <w:rsid w:val="001B4C7A"/>
    <w:rsid w:val="001C1115"/>
    <w:rsid w:val="001C21FC"/>
    <w:rsid w:val="001C3652"/>
    <w:rsid w:val="001C42CD"/>
    <w:rsid w:val="001C470C"/>
    <w:rsid w:val="001C4B20"/>
    <w:rsid w:val="001D1272"/>
    <w:rsid w:val="001D30EC"/>
    <w:rsid w:val="001D3C7A"/>
    <w:rsid w:val="001D4289"/>
    <w:rsid w:val="001D42E2"/>
    <w:rsid w:val="001D649B"/>
    <w:rsid w:val="001D720C"/>
    <w:rsid w:val="001E0C10"/>
    <w:rsid w:val="001E1956"/>
    <w:rsid w:val="001E2CBE"/>
    <w:rsid w:val="001E73E5"/>
    <w:rsid w:val="001E7F7B"/>
    <w:rsid w:val="001F0E65"/>
    <w:rsid w:val="001F29ED"/>
    <w:rsid w:val="001F3643"/>
    <w:rsid w:val="001F6F6E"/>
    <w:rsid w:val="001F79EA"/>
    <w:rsid w:val="001F7ED1"/>
    <w:rsid w:val="0020049F"/>
    <w:rsid w:val="002017A3"/>
    <w:rsid w:val="00202929"/>
    <w:rsid w:val="00203706"/>
    <w:rsid w:val="00207181"/>
    <w:rsid w:val="0020796D"/>
    <w:rsid w:val="00210006"/>
    <w:rsid w:val="002107D8"/>
    <w:rsid w:val="002114CA"/>
    <w:rsid w:val="00211533"/>
    <w:rsid w:val="00212909"/>
    <w:rsid w:val="00212BFF"/>
    <w:rsid w:val="002135D4"/>
    <w:rsid w:val="00216133"/>
    <w:rsid w:val="002167F6"/>
    <w:rsid w:val="00216AEC"/>
    <w:rsid w:val="00220603"/>
    <w:rsid w:val="00221968"/>
    <w:rsid w:val="00223137"/>
    <w:rsid w:val="00225C02"/>
    <w:rsid w:val="00226BA5"/>
    <w:rsid w:val="002332CC"/>
    <w:rsid w:val="00233628"/>
    <w:rsid w:val="00233DBB"/>
    <w:rsid w:val="00235570"/>
    <w:rsid w:val="0023681C"/>
    <w:rsid w:val="00236EA6"/>
    <w:rsid w:val="00237430"/>
    <w:rsid w:val="002377B7"/>
    <w:rsid w:val="0024194E"/>
    <w:rsid w:val="00243478"/>
    <w:rsid w:val="002437FB"/>
    <w:rsid w:val="00244F2F"/>
    <w:rsid w:val="002453E0"/>
    <w:rsid w:val="00245BD3"/>
    <w:rsid w:val="0025297C"/>
    <w:rsid w:val="00252A7D"/>
    <w:rsid w:val="0025326D"/>
    <w:rsid w:val="002534E5"/>
    <w:rsid w:val="00253C78"/>
    <w:rsid w:val="00254FA9"/>
    <w:rsid w:val="0025730C"/>
    <w:rsid w:val="00257DA3"/>
    <w:rsid w:val="00260332"/>
    <w:rsid w:val="0026076F"/>
    <w:rsid w:val="002639DB"/>
    <w:rsid w:val="00263AB9"/>
    <w:rsid w:val="0026400C"/>
    <w:rsid w:val="00264E70"/>
    <w:rsid w:val="002652DA"/>
    <w:rsid w:val="0026782A"/>
    <w:rsid w:val="00270ADB"/>
    <w:rsid w:val="00271491"/>
    <w:rsid w:val="002720E9"/>
    <w:rsid w:val="002724B6"/>
    <w:rsid w:val="00273139"/>
    <w:rsid w:val="002734D4"/>
    <w:rsid w:val="00275401"/>
    <w:rsid w:val="002764AF"/>
    <w:rsid w:val="00277473"/>
    <w:rsid w:val="00277737"/>
    <w:rsid w:val="00277B0A"/>
    <w:rsid w:val="00277D08"/>
    <w:rsid w:val="00281219"/>
    <w:rsid w:val="002858A5"/>
    <w:rsid w:val="002876DD"/>
    <w:rsid w:val="0029407C"/>
    <w:rsid w:val="00295B78"/>
    <w:rsid w:val="00297225"/>
    <w:rsid w:val="002A0BF2"/>
    <w:rsid w:val="002A1313"/>
    <w:rsid w:val="002A1801"/>
    <w:rsid w:val="002A7582"/>
    <w:rsid w:val="002B085C"/>
    <w:rsid w:val="002B47E5"/>
    <w:rsid w:val="002C2133"/>
    <w:rsid w:val="002C55BE"/>
    <w:rsid w:val="002C5784"/>
    <w:rsid w:val="002C67D5"/>
    <w:rsid w:val="002C6893"/>
    <w:rsid w:val="002D04E7"/>
    <w:rsid w:val="002D207D"/>
    <w:rsid w:val="002D3B2C"/>
    <w:rsid w:val="002D528E"/>
    <w:rsid w:val="002E12E9"/>
    <w:rsid w:val="002E1B8B"/>
    <w:rsid w:val="002E4166"/>
    <w:rsid w:val="002E60CA"/>
    <w:rsid w:val="002E6E22"/>
    <w:rsid w:val="002E6E66"/>
    <w:rsid w:val="002E702C"/>
    <w:rsid w:val="002E75CE"/>
    <w:rsid w:val="002F22B0"/>
    <w:rsid w:val="002F3891"/>
    <w:rsid w:val="002F3F8F"/>
    <w:rsid w:val="002F49A2"/>
    <w:rsid w:val="002F5B76"/>
    <w:rsid w:val="002F7918"/>
    <w:rsid w:val="002F7AF6"/>
    <w:rsid w:val="0030032F"/>
    <w:rsid w:val="00301600"/>
    <w:rsid w:val="00303B1F"/>
    <w:rsid w:val="00305575"/>
    <w:rsid w:val="00312844"/>
    <w:rsid w:val="00314EE5"/>
    <w:rsid w:val="00317347"/>
    <w:rsid w:val="00320235"/>
    <w:rsid w:val="00323778"/>
    <w:rsid w:val="00323B43"/>
    <w:rsid w:val="00324954"/>
    <w:rsid w:val="003249C4"/>
    <w:rsid w:val="00325949"/>
    <w:rsid w:val="00326AC4"/>
    <w:rsid w:val="00326B28"/>
    <w:rsid w:val="003278F6"/>
    <w:rsid w:val="003303E3"/>
    <w:rsid w:val="003304F0"/>
    <w:rsid w:val="00331407"/>
    <w:rsid w:val="00331850"/>
    <w:rsid w:val="00331E3F"/>
    <w:rsid w:val="0033286B"/>
    <w:rsid w:val="003343D8"/>
    <w:rsid w:val="00335AAE"/>
    <w:rsid w:val="00335D58"/>
    <w:rsid w:val="00336F62"/>
    <w:rsid w:val="003375E9"/>
    <w:rsid w:val="00337A59"/>
    <w:rsid w:val="00341758"/>
    <w:rsid w:val="0034189E"/>
    <w:rsid w:val="003427A4"/>
    <w:rsid w:val="0035008F"/>
    <w:rsid w:val="003541D2"/>
    <w:rsid w:val="0035478E"/>
    <w:rsid w:val="00355A16"/>
    <w:rsid w:val="00355A47"/>
    <w:rsid w:val="00357915"/>
    <w:rsid w:val="003600FB"/>
    <w:rsid w:val="00361142"/>
    <w:rsid w:val="00363047"/>
    <w:rsid w:val="00363160"/>
    <w:rsid w:val="003703EC"/>
    <w:rsid w:val="00370C20"/>
    <w:rsid w:val="0037127D"/>
    <w:rsid w:val="00371FA2"/>
    <w:rsid w:val="00374F0B"/>
    <w:rsid w:val="003769DE"/>
    <w:rsid w:val="003771C1"/>
    <w:rsid w:val="003774A3"/>
    <w:rsid w:val="003817BE"/>
    <w:rsid w:val="00384FD7"/>
    <w:rsid w:val="003863DF"/>
    <w:rsid w:val="0038649E"/>
    <w:rsid w:val="00387A44"/>
    <w:rsid w:val="00390CED"/>
    <w:rsid w:val="00391F14"/>
    <w:rsid w:val="0039296B"/>
    <w:rsid w:val="00393DF7"/>
    <w:rsid w:val="003943E1"/>
    <w:rsid w:val="003A1624"/>
    <w:rsid w:val="003A1C8F"/>
    <w:rsid w:val="003A3858"/>
    <w:rsid w:val="003A41AF"/>
    <w:rsid w:val="003A7D82"/>
    <w:rsid w:val="003B1BE9"/>
    <w:rsid w:val="003B506A"/>
    <w:rsid w:val="003B5251"/>
    <w:rsid w:val="003B613A"/>
    <w:rsid w:val="003C0F79"/>
    <w:rsid w:val="003C1659"/>
    <w:rsid w:val="003C18EB"/>
    <w:rsid w:val="003C36AC"/>
    <w:rsid w:val="003C427F"/>
    <w:rsid w:val="003C4BA4"/>
    <w:rsid w:val="003C7324"/>
    <w:rsid w:val="003D0989"/>
    <w:rsid w:val="003D2115"/>
    <w:rsid w:val="003D31F0"/>
    <w:rsid w:val="003D37D8"/>
    <w:rsid w:val="003D43C1"/>
    <w:rsid w:val="003D6482"/>
    <w:rsid w:val="003D781B"/>
    <w:rsid w:val="003E0908"/>
    <w:rsid w:val="003E164D"/>
    <w:rsid w:val="003E288C"/>
    <w:rsid w:val="003E3151"/>
    <w:rsid w:val="003E357A"/>
    <w:rsid w:val="003E3636"/>
    <w:rsid w:val="003F0B7B"/>
    <w:rsid w:val="003F0D10"/>
    <w:rsid w:val="003F10C1"/>
    <w:rsid w:val="003F11C4"/>
    <w:rsid w:val="003F2A6A"/>
    <w:rsid w:val="003F2EEF"/>
    <w:rsid w:val="003F3F19"/>
    <w:rsid w:val="003F5677"/>
    <w:rsid w:val="003F7F62"/>
    <w:rsid w:val="004000CC"/>
    <w:rsid w:val="00404E4A"/>
    <w:rsid w:val="00406704"/>
    <w:rsid w:val="0040688B"/>
    <w:rsid w:val="00407819"/>
    <w:rsid w:val="0041019A"/>
    <w:rsid w:val="00414BEC"/>
    <w:rsid w:val="00414CA6"/>
    <w:rsid w:val="00414D1E"/>
    <w:rsid w:val="00414F17"/>
    <w:rsid w:val="0041669F"/>
    <w:rsid w:val="004205C1"/>
    <w:rsid w:val="004209D4"/>
    <w:rsid w:val="004227FD"/>
    <w:rsid w:val="00422E46"/>
    <w:rsid w:val="0042451E"/>
    <w:rsid w:val="00424AD1"/>
    <w:rsid w:val="00424C97"/>
    <w:rsid w:val="00424FE0"/>
    <w:rsid w:val="00426133"/>
    <w:rsid w:val="004268A2"/>
    <w:rsid w:val="00427F1E"/>
    <w:rsid w:val="0043280F"/>
    <w:rsid w:val="004349EB"/>
    <w:rsid w:val="004358AB"/>
    <w:rsid w:val="00435B4D"/>
    <w:rsid w:val="00435C5F"/>
    <w:rsid w:val="00436079"/>
    <w:rsid w:val="00436AD9"/>
    <w:rsid w:val="0043783A"/>
    <w:rsid w:val="00443E36"/>
    <w:rsid w:val="004515BC"/>
    <w:rsid w:val="00451D9A"/>
    <w:rsid w:val="00451EE6"/>
    <w:rsid w:val="004523EF"/>
    <w:rsid w:val="004536E1"/>
    <w:rsid w:val="0045416B"/>
    <w:rsid w:val="0045554F"/>
    <w:rsid w:val="00457333"/>
    <w:rsid w:val="004575E5"/>
    <w:rsid w:val="004608BA"/>
    <w:rsid w:val="00461D02"/>
    <w:rsid w:val="00461F94"/>
    <w:rsid w:val="004620A1"/>
    <w:rsid w:val="00462DBD"/>
    <w:rsid w:val="004630E2"/>
    <w:rsid w:val="004644A6"/>
    <w:rsid w:val="00464890"/>
    <w:rsid w:val="00464E33"/>
    <w:rsid w:val="00466CB4"/>
    <w:rsid w:val="0047325B"/>
    <w:rsid w:val="004747E9"/>
    <w:rsid w:val="0047545C"/>
    <w:rsid w:val="00482C1E"/>
    <w:rsid w:val="004842A5"/>
    <w:rsid w:val="00485D22"/>
    <w:rsid w:val="00486926"/>
    <w:rsid w:val="0049188B"/>
    <w:rsid w:val="00493A69"/>
    <w:rsid w:val="00494BE7"/>
    <w:rsid w:val="00495930"/>
    <w:rsid w:val="00495B0F"/>
    <w:rsid w:val="004A0312"/>
    <w:rsid w:val="004A1430"/>
    <w:rsid w:val="004A2966"/>
    <w:rsid w:val="004A439C"/>
    <w:rsid w:val="004A5F4D"/>
    <w:rsid w:val="004A74E1"/>
    <w:rsid w:val="004A76A3"/>
    <w:rsid w:val="004B0B4C"/>
    <w:rsid w:val="004B391C"/>
    <w:rsid w:val="004B5B36"/>
    <w:rsid w:val="004B6848"/>
    <w:rsid w:val="004B6F5C"/>
    <w:rsid w:val="004C0FB0"/>
    <w:rsid w:val="004C1F99"/>
    <w:rsid w:val="004C1FFE"/>
    <w:rsid w:val="004C2B88"/>
    <w:rsid w:val="004C2C8C"/>
    <w:rsid w:val="004C2E70"/>
    <w:rsid w:val="004C4130"/>
    <w:rsid w:val="004C4FEB"/>
    <w:rsid w:val="004C52BD"/>
    <w:rsid w:val="004C5477"/>
    <w:rsid w:val="004C7156"/>
    <w:rsid w:val="004C7648"/>
    <w:rsid w:val="004D0060"/>
    <w:rsid w:val="004D03E0"/>
    <w:rsid w:val="004D1873"/>
    <w:rsid w:val="004D4500"/>
    <w:rsid w:val="004D45E9"/>
    <w:rsid w:val="004D6A78"/>
    <w:rsid w:val="004E4EAC"/>
    <w:rsid w:val="004E62D0"/>
    <w:rsid w:val="004E6609"/>
    <w:rsid w:val="004F0E03"/>
    <w:rsid w:val="004F0F3F"/>
    <w:rsid w:val="004F1C43"/>
    <w:rsid w:val="004F2143"/>
    <w:rsid w:val="004F2186"/>
    <w:rsid w:val="004F3C0A"/>
    <w:rsid w:val="004F4FE7"/>
    <w:rsid w:val="004F5E93"/>
    <w:rsid w:val="004F640D"/>
    <w:rsid w:val="004F763B"/>
    <w:rsid w:val="00501962"/>
    <w:rsid w:val="00505285"/>
    <w:rsid w:val="0050567F"/>
    <w:rsid w:val="0050698B"/>
    <w:rsid w:val="0050731C"/>
    <w:rsid w:val="0051082E"/>
    <w:rsid w:val="00511625"/>
    <w:rsid w:val="00511F4A"/>
    <w:rsid w:val="005121B8"/>
    <w:rsid w:val="00517345"/>
    <w:rsid w:val="00520C95"/>
    <w:rsid w:val="00521993"/>
    <w:rsid w:val="005220AD"/>
    <w:rsid w:val="00523E44"/>
    <w:rsid w:val="00526D5C"/>
    <w:rsid w:val="00530656"/>
    <w:rsid w:val="00532EFE"/>
    <w:rsid w:val="005346A8"/>
    <w:rsid w:val="00534D9A"/>
    <w:rsid w:val="00535439"/>
    <w:rsid w:val="00535670"/>
    <w:rsid w:val="00535AAE"/>
    <w:rsid w:val="0053674D"/>
    <w:rsid w:val="005369DB"/>
    <w:rsid w:val="005412E1"/>
    <w:rsid w:val="005425B8"/>
    <w:rsid w:val="005436DA"/>
    <w:rsid w:val="00543E1F"/>
    <w:rsid w:val="005443C6"/>
    <w:rsid w:val="00545595"/>
    <w:rsid w:val="0054705A"/>
    <w:rsid w:val="005472AD"/>
    <w:rsid w:val="005501F3"/>
    <w:rsid w:val="005515DD"/>
    <w:rsid w:val="005539F0"/>
    <w:rsid w:val="00554480"/>
    <w:rsid w:val="00555227"/>
    <w:rsid w:val="005559F7"/>
    <w:rsid w:val="00556126"/>
    <w:rsid w:val="00562E09"/>
    <w:rsid w:val="00565C55"/>
    <w:rsid w:val="005662AE"/>
    <w:rsid w:val="005705CF"/>
    <w:rsid w:val="00571318"/>
    <w:rsid w:val="00571A8B"/>
    <w:rsid w:val="00571CC6"/>
    <w:rsid w:val="00571CF5"/>
    <w:rsid w:val="00571D32"/>
    <w:rsid w:val="00574E0E"/>
    <w:rsid w:val="00574E75"/>
    <w:rsid w:val="005800E4"/>
    <w:rsid w:val="00580FB7"/>
    <w:rsid w:val="00581160"/>
    <w:rsid w:val="005825E0"/>
    <w:rsid w:val="00582C5E"/>
    <w:rsid w:val="00582CB2"/>
    <w:rsid w:val="00583225"/>
    <w:rsid w:val="00584818"/>
    <w:rsid w:val="0058624A"/>
    <w:rsid w:val="005877F7"/>
    <w:rsid w:val="00587C7B"/>
    <w:rsid w:val="00590218"/>
    <w:rsid w:val="005916E8"/>
    <w:rsid w:val="0059316F"/>
    <w:rsid w:val="00593993"/>
    <w:rsid w:val="0059448B"/>
    <w:rsid w:val="00594FF9"/>
    <w:rsid w:val="00595EA6"/>
    <w:rsid w:val="00595F71"/>
    <w:rsid w:val="00597167"/>
    <w:rsid w:val="00597398"/>
    <w:rsid w:val="00597BB0"/>
    <w:rsid w:val="005A085D"/>
    <w:rsid w:val="005A08B4"/>
    <w:rsid w:val="005A0BF9"/>
    <w:rsid w:val="005A18F7"/>
    <w:rsid w:val="005A29BE"/>
    <w:rsid w:val="005A2CD1"/>
    <w:rsid w:val="005A3323"/>
    <w:rsid w:val="005A45CD"/>
    <w:rsid w:val="005A4B49"/>
    <w:rsid w:val="005A552B"/>
    <w:rsid w:val="005A6096"/>
    <w:rsid w:val="005A7DA2"/>
    <w:rsid w:val="005B1D2F"/>
    <w:rsid w:val="005B1D9B"/>
    <w:rsid w:val="005B1F72"/>
    <w:rsid w:val="005B213D"/>
    <w:rsid w:val="005B3C68"/>
    <w:rsid w:val="005B4289"/>
    <w:rsid w:val="005B5560"/>
    <w:rsid w:val="005B6E76"/>
    <w:rsid w:val="005B6F61"/>
    <w:rsid w:val="005B7C68"/>
    <w:rsid w:val="005C116E"/>
    <w:rsid w:val="005C5E1D"/>
    <w:rsid w:val="005C6079"/>
    <w:rsid w:val="005D2E37"/>
    <w:rsid w:val="005D5D27"/>
    <w:rsid w:val="005E0B2D"/>
    <w:rsid w:val="005E1013"/>
    <w:rsid w:val="005E1AF1"/>
    <w:rsid w:val="005E2988"/>
    <w:rsid w:val="005E2B82"/>
    <w:rsid w:val="005E7309"/>
    <w:rsid w:val="005F24E4"/>
    <w:rsid w:val="005F4C43"/>
    <w:rsid w:val="005F5DE4"/>
    <w:rsid w:val="00600482"/>
    <w:rsid w:val="00600ACA"/>
    <w:rsid w:val="00602669"/>
    <w:rsid w:val="00603EF4"/>
    <w:rsid w:val="00604D9B"/>
    <w:rsid w:val="00605686"/>
    <w:rsid w:val="00607152"/>
    <w:rsid w:val="00611D4C"/>
    <w:rsid w:val="00613ED6"/>
    <w:rsid w:val="0061744B"/>
    <w:rsid w:val="006207C5"/>
    <w:rsid w:val="00620EDA"/>
    <w:rsid w:val="00623000"/>
    <w:rsid w:val="006235B4"/>
    <w:rsid w:val="00624F44"/>
    <w:rsid w:val="00625C0B"/>
    <w:rsid w:val="00625F45"/>
    <w:rsid w:val="0062755D"/>
    <w:rsid w:val="00627CB0"/>
    <w:rsid w:val="00627CC9"/>
    <w:rsid w:val="00627E64"/>
    <w:rsid w:val="00630915"/>
    <w:rsid w:val="00632888"/>
    <w:rsid w:val="00634659"/>
    <w:rsid w:val="00636659"/>
    <w:rsid w:val="0063751E"/>
    <w:rsid w:val="00641401"/>
    <w:rsid w:val="006443A1"/>
    <w:rsid w:val="00647416"/>
    <w:rsid w:val="006503CA"/>
    <w:rsid w:val="00651522"/>
    <w:rsid w:val="006542AE"/>
    <w:rsid w:val="00654C0C"/>
    <w:rsid w:val="00655355"/>
    <w:rsid w:val="00655560"/>
    <w:rsid w:val="00655595"/>
    <w:rsid w:val="00655894"/>
    <w:rsid w:val="0065624E"/>
    <w:rsid w:val="0065696E"/>
    <w:rsid w:val="00656B6A"/>
    <w:rsid w:val="00657267"/>
    <w:rsid w:val="00657736"/>
    <w:rsid w:val="00662776"/>
    <w:rsid w:val="0066375B"/>
    <w:rsid w:val="00667A48"/>
    <w:rsid w:val="00667FA3"/>
    <w:rsid w:val="00671F79"/>
    <w:rsid w:val="00673F6B"/>
    <w:rsid w:val="00673F8B"/>
    <w:rsid w:val="0067428C"/>
    <w:rsid w:val="00675305"/>
    <w:rsid w:val="00677363"/>
    <w:rsid w:val="00681DE8"/>
    <w:rsid w:val="00682F59"/>
    <w:rsid w:val="00683181"/>
    <w:rsid w:val="00683585"/>
    <w:rsid w:val="00691450"/>
    <w:rsid w:val="00691AA0"/>
    <w:rsid w:val="00691D75"/>
    <w:rsid w:val="006933AA"/>
    <w:rsid w:val="0069393A"/>
    <w:rsid w:val="006946F3"/>
    <w:rsid w:val="00694C68"/>
    <w:rsid w:val="0069591B"/>
    <w:rsid w:val="00696012"/>
    <w:rsid w:val="006A1C3C"/>
    <w:rsid w:val="006A46DF"/>
    <w:rsid w:val="006A4A6C"/>
    <w:rsid w:val="006A52AF"/>
    <w:rsid w:val="006A6B81"/>
    <w:rsid w:val="006A7D87"/>
    <w:rsid w:val="006B1463"/>
    <w:rsid w:val="006B3EA6"/>
    <w:rsid w:val="006B5A3D"/>
    <w:rsid w:val="006B636B"/>
    <w:rsid w:val="006B7971"/>
    <w:rsid w:val="006B79F5"/>
    <w:rsid w:val="006C0A59"/>
    <w:rsid w:val="006C220E"/>
    <w:rsid w:val="006C26F3"/>
    <w:rsid w:val="006C3827"/>
    <w:rsid w:val="006C3962"/>
    <w:rsid w:val="006C59C7"/>
    <w:rsid w:val="006C69B0"/>
    <w:rsid w:val="006C7582"/>
    <w:rsid w:val="006D02AB"/>
    <w:rsid w:val="006D042D"/>
    <w:rsid w:val="006D0A60"/>
    <w:rsid w:val="006D0D51"/>
    <w:rsid w:val="006D13A9"/>
    <w:rsid w:val="006D1BA2"/>
    <w:rsid w:val="006D2335"/>
    <w:rsid w:val="006D28D0"/>
    <w:rsid w:val="006D2E8C"/>
    <w:rsid w:val="006D33E0"/>
    <w:rsid w:val="006D66E2"/>
    <w:rsid w:val="006E184D"/>
    <w:rsid w:val="006E2F3C"/>
    <w:rsid w:val="006E4492"/>
    <w:rsid w:val="006E56E5"/>
    <w:rsid w:val="006E593F"/>
    <w:rsid w:val="006E6AA4"/>
    <w:rsid w:val="006E79D4"/>
    <w:rsid w:val="006F1063"/>
    <w:rsid w:val="006F22F7"/>
    <w:rsid w:val="006F2F04"/>
    <w:rsid w:val="006F3DB5"/>
    <w:rsid w:val="006F43F6"/>
    <w:rsid w:val="006F4537"/>
    <w:rsid w:val="006F4CA0"/>
    <w:rsid w:val="006F6B00"/>
    <w:rsid w:val="006F7B25"/>
    <w:rsid w:val="00700221"/>
    <w:rsid w:val="007008B4"/>
    <w:rsid w:val="00700F37"/>
    <w:rsid w:val="0070182C"/>
    <w:rsid w:val="00701DB6"/>
    <w:rsid w:val="0070255C"/>
    <w:rsid w:val="007042E0"/>
    <w:rsid w:val="00710EB2"/>
    <w:rsid w:val="007162F2"/>
    <w:rsid w:val="00720330"/>
    <w:rsid w:val="00721A5B"/>
    <w:rsid w:val="007222E0"/>
    <w:rsid w:val="00724EC6"/>
    <w:rsid w:val="00725034"/>
    <w:rsid w:val="00726099"/>
    <w:rsid w:val="007265B1"/>
    <w:rsid w:val="007303BF"/>
    <w:rsid w:val="007304F6"/>
    <w:rsid w:val="0073166C"/>
    <w:rsid w:val="0073205D"/>
    <w:rsid w:val="00733313"/>
    <w:rsid w:val="0074089E"/>
    <w:rsid w:val="00741C62"/>
    <w:rsid w:val="00741F1E"/>
    <w:rsid w:val="00743730"/>
    <w:rsid w:val="00743BAB"/>
    <w:rsid w:val="00745706"/>
    <w:rsid w:val="00746642"/>
    <w:rsid w:val="00747198"/>
    <w:rsid w:val="00747436"/>
    <w:rsid w:val="00747AE0"/>
    <w:rsid w:val="0075047F"/>
    <w:rsid w:val="007509A1"/>
    <w:rsid w:val="00752194"/>
    <w:rsid w:val="00753073"/>
    <w:rsid w:val="00754090"/>
    <w:rsid w:val="00754633"/>
    <w:rsid w:val="0075585C"/>
    <w:rsid w:val="007565F6"/>
    <w:rsid w:val="007572C1"/>
    <w:rsid w:val="0076076A"/>
    <w:rsid w:val="007607BD"/>
    <w:rsid w:val="00761107"/>
    <w:rsid w:val="00762D9D"/>
    <w:rsid w:val="00762F2B"/>
    <w:rsid w:val="0076608B"/>
    <w:rsid w:val="00766432"/>
    <w:rsid w:val="007667EF"/>
    <w:rsid w:val="00770CA2"/>
    <w:rsid w:val="00774A45"/>
    <w:rsid w:val="007760A0"/>
    <w:rsid w:val="00782BEA"/>
    <w:rsid w:val="00783262"/>
    <w:rsid w:val="0078397C"/>
    <w:rsid w:val="00783F53"/>
    <w:rsid w:val="00785417"/>
    <w:rsid w:val="00785C8B"/>
    <w:rsid w:val="00787792"/>
    <w:rsid w:val="00790D85"/>
    <w:rsid w:val="00792A80"/>
    <w:rsid w:val="00792EFE"/>
    <w:rsid w:val="00795FF0"/>
    <w:rsid w:val="0079701E"/>
    <w:rsid w:val="007A145E"/>
    <w:rsid w:val="007A2F9D"/>
    <w:rsid w:val="007A3D01"/>
    <w:rsid w:val="007A4280"/>
    <w:rsid w:val="007A5D8C"/>
    <w:rsid w:val="007B0978"/>
    <w:rsid w:val="007B43D4"/>
    <w:rsid w:val="007B4ACC"/>
    <w:rsid w:val="007B56F5"/>
    <w:rsid w:val="007B69BF"/>
    <w:rsid w:val="007C06A7"/>
    <w:rsid w:val="007C2166"/>
    <w:rsid w:val="007C6B9D"/>
    <w:rsid w:val="007C7CE6"/>
    <w:rsid w:val="007D0DE1"/>
    <w:rsid w:val="007D3241"/>
    <w:rsid w:val="007D61D6"/>
    <w:rsid w:val="007D7AD1"/>
    <w:rsid w:val="007D7CA1"/>
    <w:rsid w:val="007E4E36"/>
    <w:rsid w:val="007E5308"/>
    <w:rsid w:val="007E7CC3"/>
    <w:rsid w:val="007F008E"/>
    <w:rsid w:val="007F107F"/>
    <w:rsid w:val="007F24C1"/>
    <w:rsid w:val="007F25F4"/>
    <w:rsid w:val="007F3A96"/>
    <w:rsid w:val="007F3F7F"/>
    <w:rsid w:val="007F54C6"/>
    <w:rsid w:val="007F63DF"/>
    <w:rsid w:val="007F6B72"/>
    <w:rsid w:val="007F6E52"/>
    <w:rsid w:val="007F7142"/>
    <w:rsid w:val="007F72B7"/>
    <w:rsid w:val="00800068"/>
    <w:rsid w:val="0080184F"/>
    <w:rsid w:val="00801FBF"/>
    <w:rsid w:val="008029E3"/>
    <w:rsid w:val="0080470F"/>
    <w:rsid w:val="00804AB0"/>
    <w:rsid w:val="0080529A"/>
    <w:rsid w:val="0080564F"/>
    <w:rsid w:val="00805C93"/>
    <w:rsid w:val="008079EE"/>
    <w:rsid w:val="00810334"/>
    <w:rsid w:val="00810555"/>
    <w:rsid w:val="00811191"/>
    <w:rsid w:val="00812A19"/>
    <w:rsid w:val="0081489E"/>
    <w:rsid w:val="00814965"/>
    <w:rsid w:val="0081700F"/>
    <w:rsid w:val="008207AD"/>
    <w:rsid w:val="008212C7"/>
    <w:rsid w:val="0082209F"/>
    <w:rsid w:val="00822552"/>
    <w:rsid w:val="008233C4"/>
    <w:rsid w:val="0082384B"/>
    <w:rsid w:val="0082730F"/>
    <w:rsid w:val="00830B28"/>
    <w:rsid w:val="00831301"/>
    <w:rsid w:val="008315A1"/>
    <w:rsid w:val="00835B9C"/>
    <w:rsid w:val="00841F68"/>
    <w:rsid w:val="00842387"/>
    <w:rsid w:val="008435CF"/>
    <w:rsid w:val="00845E04"/>
    <w:rsid w:val="00847295"/>
    <w:rsid w:val="00851B83"/>
    <w:rsid w:val="008526D5"/>
    <w:rsid w:val="008532C6"/>
    <w:rsid w:val="00853342"/>
    <w:rsid w:val="0085398B"/>
    <w:rsid w:val="00855707"/>
    <w:rsid w:val="00855A6A"/>
    <w:rsid w:val="00856F67"/>
    <w:rsid w:val="00860997"/>
    <w:rsid w:val="00860CB8"/>
    <w:rsid w:val="008636C7"/>
    <w:rsid w:val="00863B14"/>
    <w:rsid w:val="0086612C"/>
    <w:rsid w:val="00866FA2"/>
    <w:rsid w:val="00872AFE"/>
    <w:rsid w:val="0087418A"/>
    <w:rsid w:val="008748BB"/>
    <w:rsid w:val="00875A97"/>
    <w:rsid w:val="008764DA"/>
    <w:rsid w:val="00876B9D"/>
    <w:rsid w:val="00877839"/>
    <w:rsid w:val="00880870"/>
    <w:rsid w:val="00880E39"/>
    <w:rsid w:val="00881809"/>
    <w:rsid w:val="00882E81"/>
    <w:rsid w:val="00882FB6"/>
    <w:rsid w:val="00883485"/>
    <w:rsid w:val="00886436"/>
    <w:rsid w:val="00891A85"/>
    <w:rsid w:val="00893707"/>
    <w:rsid w:val="00895315"/>
    <w:rsid w:val="0089703C"/>
    <w:rsid w:val="008A0AF5"/>
    <w:rsid w:val="008A3669"/>
    <w:rsid w:val="008A3B84"/>
    <w:rsid w:val="008A3D72"/>
    <w:rsid w:val="008A4CAF"/>
    <w:rsid w:val="008A6FC4"/>
    <w:rsid w:val="008B0950"/>
    <w:rsid w:val="008B1D1F"/>
    <w:rsid w:val="008B3D4E"/>
    <w:rsid w:val="008B7726"/>
    <w:rsid w:val="008C0EC3"/>
    <w:rsid w:val="008C2666"/>
    <w:rsid w:val="008C476C"/>
    <w:rsid w:val="008C588F"/>
    <w:rsid w:val="008C5A2E"/>
    <w:rsid w:val="008C6477"/>
    <w:rsid w:val="008C708B"/>
    <w:rsid w:val="008D106C"/>
    <w:rsid w:val="008D22AC"/>
    <w:rsid w:val="008D3832"/>
    <w:rsid w:val="008D3C38"/>
    <w:rsid w:val="008D607D"/>
    <w:rsid w:val="008D6481"/>
    <w:rsid w:val="008D676B"/>
    <w:rsid w:val="008D6902"/>
    <w:rsid w:val="008D71D6"/>
    <w:rsid w:val="008E1524"/>
    <w:rsid w:val="008F22BA"/>
    <w:rsid w:val="008F2EED"/>
    <w:rsid w:val="008F35C4"/>
    <w:rsid w:val="008F3845"/>
    <w:rsid w:val="008F4A40"/>
    <w:rsid w:val="008F64D6"/>
    <w:rsid w:val="008F7122"/>
    <w:rsid w:val="008F77C1"/>
    <w:rsid w:val="00900C6C"/>
    <w:rsid w:val="00901335"/>
    <w:rsid w:val="00901EBF"/>
    <w:rsid w:val="009056A5"/>
    <w:rsid w:val="009078FF"/>
    <w:rsid w:val="0091089E"/>
    <w:rsid w:val="00912538"/>
    <w:rsid w:val="00913C98"/>
    <w:rsid w:val="00913D8D"/>
    <w:rsid w:val="0091615C"/>
    <w:rsid w:val="009161B3"/>
    <w:rsid w:val="0092053F"/>
    <w:rsid w:val="00921662"/>
    <w:rsid w:val="00922197"/>
    <w:rsid w:val="00923E70"/>
    <w:rsid w:val="009242EA"/>
    <w:rsid w:val="009263E5"/>
    <w:rsid w:val="0092668D"/>
    <w:rsid w:val="00926BE8"/>
    <w:rsid w:val="00934018"/>
    <w:rsid w:val="00936D19"/>
    <w:rsid w:val="00940B2A"/>
    <w:rsid w:val="00940FDC"/>
    <w:rsid w:val="00941B16"/>
    <w:rsid w:val="00942C0F"/>
    <w:rsid w:val="00943699"/>
    <w:rsid w:val="00945B5F"/>
    <w:rsid w:val="00945C8D"/>
    <w:rsid w:val="0094760A"/>
    <w:rsid w:val="0094792F"/>
    <w:rsid w:val="00947BD5"/>
    <w:rsid w:val="00951C82"/>
    <w:rsid w:val="00951CDF"/>
    <w:rsid w:val="00952473"/>
    <w:rsid w:val="00952901"/>
    <w:rsid w:val="00954B21"/>
    <w:rsid w:val="00954D7C"/>
    <w:rsid w:val="0095542B"/>
    <w:rsid w:val="00960A2A"/>
    <w:rsid w:val="00962826"/>
    <w:rsid w:val="00962D16"/>
    <w:rsid w:val="00965BEF"/>
    <w:rsid w:val="00966EBE"/>
    <w:rsid w:val="00970B69"/>
    <w:rsid w:val="00970BBC"/>
    <w:rsid w:val="00974A05"/>
    <w:rsid w:val="00975AE1"/>
    <w:rsid w:val="00976DD8"/>
    <w:rsid w:val="00977EAF"/>
    <w:rsid w:val="00980D1F"/>
    <w:rsid w:val="00982D9F"/>
    <w:rsid w:val="00983C38"/>
    <w:rsid w:val="00985543"/>
    <w:rsid w:val="00985C5F"/>
    <w:rsid w:val="009863E8"/>
    <w:rsid w:val="00991958"/>
    <w:rsid w:val="009919E2"/>
    <w:rsid w:val="00991BE9"/>
    <w:rsid w:val="00993C49"/>
    <w:rsid w:val="00994A2F"/>
    <w:rsid w:val="0099573F"/>
    <w:rsid w:val="00995BA2"/>
    <w:rsid w:val="009A143C"/>
    <w:rsid w:val="009A169F"/>
    <w:rsid w:val="009A2AC1"/>
    <w:rsid w:val="009A3854"/>
    <w:rsid w:val="009A4300"/>
    <w:rsid w:val="009A509F"/>
    <w:rsid w:val="009A52EE"/>
    <w:rsid w:val="009A7D84"/>
    <w:rsid w:val="009B33C2"/>
    <w:rsid w:val="009B3704"/>
    <w:rsid w:val="009B4EF3"/>
    <w:rsid w:val="009B51A2"/>
    <w:rsid w:val="009B5F5D"/>
    <w:rsid w:val="009C0B36"/>
    <w:rsid w:val="009C0B9A"/>
    <w:rsid w:val="009C3E21"/>
    <w:rsid w:val="009C55CA"/>
    <w:rsid w:val="009C59E0"/>
    <w:rsid w:val="009C5CA7"/>
    <w:rsid w:val="009C64CB"/>
    <w:rsid w:val="009D1431"/>
    <w:rsid w:val="009D1D51"/>
    <w:rsid w:val="009D2EF1"/>
    <w:rsid w:val="009D54B2"/>
    <w:rsid w:val="009D5558"/>
    <w:rsid w:val="009D5D42"/>
    <w:rsid w:val="009D5EA9"/>
    <w:rsid w:val="009D6C23"/>
    <w:rsid w:val="009D7E8F"/>
    <w:rsid w:val="009E02E1"/>
    <w:rsid w:val="009E17C5"/>
    <w:rsid w:val="009E1CE3"/>
    <w:rsid w:val="009E235A"/>
    <w:rsid w:val="009E3CD9"/>
    <w:rsid w:val="009E6BA0"/>
    <w:rsid w:val="009E7CDC"/>
    <w:rsid w:val="009E7FC2"/>
    <w:rsid w:val="009F1454"/>
    <w:rsid w:val="009F1937"/>
    <w:rsid w:val="009F1F35"/>
    <w:rsid w:val="009F223B"/>
    <w:rsid w:val="009F27C7"/>
    <w:rsid w:val="009F343B"/>
    <w:rsid w:val="009F7DA6"/>
    <w:rsid w:val="00A00759"/>
    <w:rsid w:val="00A028A4"/>
    <w:rsid w:val="00A02A2F"/>
    <w:rsid w:val="00A02A9D"/>
    <w:rsid w:val="00A02B18"/>
    <w:rsid w:val="00A02DE3"/>
    <w:rsid w:val="00A05335"/>
    <w:rsid w:val="00A057B6"/>
    <w:rsid w:val="00A064CA"/>
    <w:rsid w:val="00A078DF"/>
    <w:rsid w:val="00A11862"/>
    <w:rsid w:val="00A13D08"/>
    <w:rsid w:val="00A20D54"/>
    <w:rsid w:val="00A20E98"/>
    <w:rsid w:val="00A21070"/>
    <w:rsid w:val="00A2221E"/>
    <w:rsid w:val="00A241E2"/>
    <w:rsid w:val="00A24F76"/>
    <w:rsid w:val="00A305D5"/>
    <w:rsid w:val="00A31128"/>
    <w:rsid w:val="00A31A80"/>
    <w:rsid w:val="00A31E1F"/>
    <w:rsid w:val="00A33016"/>
    <w:rsid w:val="00A35C6E"/>
    <w:rsid w:val="00A3669E"/>
    <w:rsid w:val="00A370F8"/>
    <w:rsid w:val="00A4086B"/>
    <w:rsid w:val="00A425EC"/>
    <w:rsid w:val="00A427B3"/>
    <w:rsid w:val="00A42872"/>
    <w:rsid w:val="00A4356A"/>
    <w:rsid w:val="00A4647E"/>
    <w:rsid w:val="00A5041C"/>
    <w:rsid w:val="00A52F03"/>
    <w:rsid w:val="00A52F13"/>
    <w:rsid w:val="00A546CC"/>
    <w:rsid w:val="00A54E74"/>
    <w:rsid w:val="00A561FB"/>
    <w:rsid w:val="00A57151"/>
    <w:rsid w:val="00A57E44"/>
    <w:rsid w:val="00A62037"/>
    <w:rsid w:val="00A6274E"/>
    <w:rsid w:val="00A647F6"/>
    <w:rsid w:val="00A667AD"/>
    <w:rsid w:val="00A716F9"/>
    <w:rsid w:val="00A73493"/>
    <w:rsid w:val="00A7476E"/>
    <w:rsid w:val="00A75A14"/>
    <w:rsid w:val="00A7614B"/>
    <w:rsid w:val="00A83956"/>
    <w:rsid w:val="00A84186"/>
    <w:rsid w:val="00A84628"/>
    <w:rsid w:val="00A86C35"/>
    <w:rsid w:val="00A87024"/>
    <w:rsid w:val="00A870DF"/>
    <w:rsid w:val="00A94BBF"/>
    <w:rsid w:val="00A95108"/>
    <w:rsid w:val="00A97415"/>
    <w:rsid w:val="00A97937"/>
    <w:rsid w:val="00A97D16"/>
    <w:rsid w:val="00AA07D4"/>
    <w:rsid w:val="00AA0A0C"/>
    <w:rsid w:val="00AA5A02"/>
    <w:rsid w:val="00AA7FD9"/>
    <w:rsid w:val="00AB050A"/>
    <w:rsid w:val="00AB338D"/>
    <w:rsid w:val="00AB4BBE"/>
    <w:rsid w:val="00AB571F"/>
    <w:rsid w:val="00AB6AA3"/>
    <w:rsid w:val="00AC019B"/>
    <w:rsid w:val="00AC1E18"/>
    <w:rsid w:val="00AC336F"/>
    <w:rsid w:val="00AC33B1"/>
    <w:rsid w:val="00AC375B"/>
    <w:rsid w:val="00AD6AAE"/>
    <w:rsid w:val="00AE5E6F"/>
    <w:rsid w:val="00AE6944"/>
    <w:rsid w:val="00AF1500"/>
    <w:rsid w:val="00AF155D"/>
    <w:rsid w:val="00AF25D8"/>
    <w:rsid w:val="00AF285E"/>
    <w:rsid w:val="00AF2FDC"/>
    <w:rsid w:val="00AF4A10"/>
    <w:rsid w:val="00AF5513"/>
    <w:rsid w:val="00AF5D6E"/>
    <w:rsid w:val="00AF797E"/>
    <w:rsid w:val="00B00145"/>
    <w:rsid w:val="00B005A4"/>
    <w:rsid w:val="00B02356"/>
    <w:rsid w:val="00B02EEA"/>
    <w:rsid w:val="00B036B6"/>
    <w:rsid w:val="00B03921"/>
    <w:rsid w:val="00B03DEE"/>
    <w:rsid w:val="00B03F8B"/>
    <w:rsid w:val="00B04C01"/>
    <w:rsid w:val="00B06CF7"/>
    <w:rsid w:val="00B06F3A"/>
    <w:rsid w:val="00B077C8"/>
    <w:rsid w:val="00B07B68"/>
    <w:rsid w:val="00B1392E"/>
    <w:rsid w:val="00B13C93"/>
    <w:rsid w:val="00B14FC1"/>
    <w:rsid w:val="00B160FD"/>
    <w:rsid w:val="00B168B4"/>
    <w:rsid w:val="00B16F43"/>
    <w:rsid w:val="00B171BD"/>
    <w:rsid w:val="00B22629"/>
    <w:rsid w:val="00B23935"/>
    <w:rsid w:val="00B23B7A"/>
    <w:rsid w:val="00B25FB0"/>
    <w:rsid w:val="00B25FDC"/>
    <w:rsid w:val="00B263BC"/>
    <w:rsid w:val="00B26B53"/>
    <w:rsid w:val="00B31EAE"/>
    <w:rsid w:val="00B32C44"/>
    <w:rsid w:val="00B340BE"/>
    <w:rsid w:val="00B40482"/>
    <w:rsid w:val="00B4071F"/>
    <w:rsid w:val="00B4148E"/>
    <w:rsid w:val="00B443FF"/>
    <w:rsid w:val="00B4492E"/>
    <w:rsid w:val="00B45390"/>
    <w:rsid w:val="00B4588A"/>
    <w:rsid w:val="00B463F0"/>
    <w:rsid w:val="00B46ADB"/>
    <w:rsid w:val="00B513A6"/>
    <w:rsid w:val="00B52037"/>
    <w:rsid w:val="00B52436"/>
    <w:rsid w:val="00B53611"/>
    <w:rsid w:val="00B54B5A"/>
    <w:rsid w:val="00B54E45"/>
    <w:rsid w:val="00B6031C"/>
    <w:rsid w:val="00B60954"/>
    <w:rsid w:val="00B60ED9"/>
    <w:rsid w:val="00B61E1A"/>
    <w:rsid w:val="00B620C4"/>
    <w:rsid w:val="00B640E2"/>
    <w:rsid w:val="00B64A76"/>
    <w:rsid w:val="00B65855"/>
    <w:rsid w:val="00B66DAA"/>
    <w:rsid w:val="00B67714"/>
    <w:rsid w:val="00B703EE"/>
    <w:rsid w:val="00B71465"/>
    <w:rsid w:val="00B7173A"/>
    <w:rsid w:val="00B753DA"/>
    <w:rsid w:val="00B76D7F"/>
    <w:rsid w:val="00B806ED"/>
    <w:rsid w:val="00B80948"/>
    <w:rsid w:val="00B8279A"/>
    <w:rsid w:val="00B82E7D"/>
    <w:rsid w:val="00B84698"/>
    <w:rsid w:val="00B90FCD"/>
    <w:rsid w:val="00B914F3"/>
    <w:rsid w:val="00B91844"/>
    <w:rsid w:val="00B92603"/>
    <w:rsid w:val="00B935D6"/>
    <w:rsid w:val="00B94EE6"/>
    <w:rsid w:val="00B9511B"/>
    <w:rsid w:val="00B957C0"/>
    <w:rsid w:val="00B971CE"/>
    <w:rsid w:val="00B97C70"/>
    <w:rsid w:val="00BA0CAF"/>
    <w:rsid w:val="00BA155D"/>
    <w:rsid w:val="00BA1B5F"/>
    <w:rsid w:val="00BA3F0E"/>
    <w:rsid w:val="00BA4040"/>
    <w:rsid w:val="00BA55C2"/>
    <w:rsid w:val="00BA5CD9"/>
    <w:rsid w:val="00BA73DC"/>
    <w:rsid w:val="00BB2290"/>
    <w:rsid w:val="00BB3B0B"/>
    <w:rsid w:val="00BB73E4"/>
    <w:rsid w:val="00BC0635"/>
    <w:rsid w:val="00BC2A0C"/>
    <w:rsid w:val="00BC368B"/>
    <w:rsid w:val="00BC62A8"/>
    <w:rsid w:val="00BC7442"/>
    <w:rsid w:val="00BD0873"/>
    <w:rsid w:val="00BD0A2D"/>
    <w:rsid w:val="00BD107D"/>
    <w:rsid w:val="00BD4D5D"/>
    <w:rsid w:val="00BD5EC7"/>
    <w:rsid w:val="00BD6124"/>
    <w:rsid w:val="00BD670E"/>
    <w:rsid w:val="00BD7C17"/>
    <w:rsid w:val="00BD7F52"/>
    <w:rsid w:val="00BE0D3D"/>
    <w:rsid w:val="00BE1C7E"/>
    <w:rsid w:val="00BE247B"/>
    <w:rsid w:val="00BE3AFB"/>
    <w:rsid w:val="00BE4EF4"/>
    <w:rsid w:val="00BE6BDC"/>
    <w:rsid w:val="00BE772E"/>
    <w:rsid w:val="00BF24C6"/>
    <w:rsid w:val="00BF2E5C"/>
    <w:rsid w:val="00BF324D"/>
    <w:rsid w:val="00BF34C8"/>
    <w:rsid w:val="00BF6BB7"/>
    <w:rsid w:val="00BF784C"/>
    <w:rsid w:val="00C00F16"/>
    <w:rsid w:val="00C0191E"/>
    <w:rsid w:val="00C02846"/>
    <w:rsid w:val="00C04342"/>
    <w:rsid w:val="00C05A2E"/>
    <w:rsid w:val="00C05EDB"/>
    <w:rsid w:val="00C0698C"/>
    <w:rsid w:val="00C109A4"/>
    <w:rsid w:val="00C11CAC"/>
    <w:rsid w:val="00C13542"/>
    <w:rsid w:val="00C1439A"/>
    <w:rsid w:val="00C14455"/>
    <w:rsid w:val="00C159EE"/>
    <w:rsid w:val="00C20718"/>
    <w:rsid w:val="00C22469"/>
    <w:rsid w:val="00C23823"/>
    <w:rsid w:val="00C26029"/>
    <w:rsid w:val="00C27548"/>
    <w:rsid w:val="00C31860"/>
    <w:rsid w:val="00C3195B"/>
    <w:rsid w:val="00C328FF"/>
    <w:rsid w:val="00C35B94"/>
    <w:rsid w:val="00C37AE2"/>
    <w:rsid w:val="00C418CD"/>
    <w:rsid w:val="00C472B8"/>
    <w:rsid w:val="00C52E83"/>
    <w:rsid w:val="00C52F20"/>
    <w:rsid w:val="00C57D8F"/>
    <w:rsid w:val="00C614F3"/>
    <w:rsid w:val="00C63755"/>
    <w:rsid w:val="00C6450E"/>
    <w:rsid w:val="00C651DE"/>
    <w:rsid w:val="00C67E64"/>
    <w:rsid w:val="00C7082E"/>
    <w:rsid w:val="00C70A91"/>
    <w:rsid w:val="00C70F25"/>
    <w:rsid w:val="00C717A5"/>
    <w:rsid w:val="00C72917"/>
    <w:rsid w:val="00C734DF"/>
    <w:rsid w:val="00C74A04"/>
    <w:rsid w:val="00C758C8"/>
    <w:rsid w:val="00C77FD1"/>
    <w:rsid w:val="00C80230"/>
    <w:rsid w:val="00C80CF9"/>
    <w:rsid w:val="00C85621"/>
    <w:rsid w:val="00C868B2"/>
    <w:rsid w:val="00C8756A"/>
    <w:rsid w:val="00C91408"/>
    <w:rsid w:val="00C93670"/>
    <w:rsid w:val="00C9507E"/>
    <w:rsid w:val="00C96399"/>
    <w:rsid w:val="00C967F1"/>
    <w:rsid w:val="00C96F58"/>
    <w:rsid w:val="00C97B36"/>
    <w:rsid w:val="00CA0958"/>
    <w:rsid w:val="00CA0A9F"/>
    <w:rsid w:val="00CA0E80"/>
    <w:rsid w:val="00CA152F"/>
    <w:rsid w:val="00CA1CF9"/>
    <w:rsid w:val="00CA40BE"/>
    <w:rsid w:val="00CA497D"/>
    <w:rsid w:val="00CA5739"/>
    <w:rsid w:val="00CA6331"/>
    <w:rsid w:val="00CA6FA5"/>
    <w:rsid w:val="00CA7649"/>
    <w:rsid w:val="00CB060B"/>
    <w:rsid w:val="00CB07EB"/>
    <w:rsid w:val="00CB1C5C"/>
    <w:rsid w:val="00CB348E"/>
    <w:rsid w:val="00CB494F"/>
    <w:rsid w:val="00CB533E"/>
    <w:rsid w:val="00CB5B02"/>
    <w:rsid w:val="00CB67DB"/>
    <w:rsid w:val="00CB71E0"/>
    <w:rsid w:val="00CB772E"/>
    <w:rsid w:val="00CB7D77"/>
    <w:rsid w:val="00CC10E5"/>
    <w:rsid w:val="00CC1AE9"/>
    <w:rsid w:val="00CC1C9A"/>
    <w:rsid w:val="00CC1D69"/>
    <w:rsid w:val="00CC31D8"/>
    <w:rsid w:val="00CC3639"/>
    <w:rsid w:val="00CC393A"/>
    <w:rsid w:val="00CC396C"/>
    <w:rsid w:val="00CC5410"/>
    <w:rsid w:val="00CC67A9"/>
    <w:rsid w:val="00CD3846"/>
    <w:rsid w:val="00CD3A45"/>
    <w:rsid w:val="00CD57E3"/>
    <w:rsid w:val="00CD5D18"/>
    <w:rsid w:val="00CD7DF3"/>
    <w:rsid w:val="00CE0C08"/>
    <w:rsid w:val="00CE4E7F"/>
    <w:rsid w:val="00CE559F"/>
    <w:rsid w:val="00CF0E86"/>
    <w:rsid w:val="00CF3E69"/>
    <w:rsid w:val="00CF72CB"/>
    <w:rsid w:val="00CF739B"/>
    <w:rsid w:val="00D019A5"/>
    <w:rsid w:val="00D04E69"/>
    <w:rsid w:val="00D05FF5"/>
    <w:rsid w:val="00D10343"/>
    <w:rsid w:val="00D116A4"/>
    <w:rsid w:val="00D12764"/>
    <w:rsid w:val="00D12BBF"/>
    <w:rsid w:val="00D150CD"/>
    <w:rsid w:val="00D1742F"/>
    <w:rsid w:val="00D175D0"/>
    <w:rsid w:val="00D1782C"/>
    <w:rsid w:val="00D17C39"/>
    <w:rsid w:val="00D202BD"/>
    <w:rsid w:val="00D204E0"/>
    <w:rsid w:val="00D2070F"/>
    <w:rsid w:val="00D2120D"/>
    <w:rsid w:val="00D21CCE"/>
    <w:rsid w:val="00D222B5"/>
    <w:rsid w:val="00D22728"/>
    <w:rsid w:val="00D23935"/>
    <w:rsid w:val="00D268E8"/>
    <w:rsid w:val="00D27ECA"/>
    <w:rsid w:val="00D30CF3"/>
    <w:rsid w:val="00D31C8E"/>
    <w:rsid w:val="00D31D50"/>
    <w:rsid w:val="00D33849"/>
    <w:rsid w:val="00D3440F"/>
    <w:rsid w:val="00D367C7"/>
    <w:rsid w:val="00D36DA6"/>
    <w:rsid w:val="00D4559D"/>
    <w:rsid w:val="00D45790"/>
    <w:rsid w:val="00D469A3"/>
    <w:rsid w:val="00D50671"/>
    <w:rsid w:val="00D51585"/>
    <w:rsid w:val="00D51FBF"/>
    <w:rsid w:val="00D523B8"/>
    <w:rsid w:val="00D60054"/>
    <w:rsid w:val="00D60DA2"/>
    <w:rsid w:val="00D6316D"/>
    <w:rsid w:val="00D64FA9"/>
    <w:rsid w:val="00D6536E"/>
    <w:rsid w:val="00D66543"/>
    <w:rsid w:val="00D67444"/>
    <w:rsid w:val="00D70AC7"/>
    <w:rsid w:val="00D70C46"/>
    <w:rsid w:val="00D75C0A"/>
    <w:rsid w:val="00D808FF"/>
    <w:rsid w:val="00D814C1"/>
    <w:rsid w:val="00D8241D"/>
    <w:rsid w:val="00D83670"/>
    <w:rsid w:val="00D85FC9"/>
    <w:rsid w:val="00D926DE"/>
    <w:rsid w:val="00D93779"/>
    <w:rsid w:val="00D94FE1"/>
    <w:rsid w:val="00D962E4"/>
    <w:rsid w:val="00D97861"/>
    <w:rsid w:val="00D97FBB"/>
    <w:rsid w:val="00DA1A6E"/>
    <w:rsid w:val="00DA1BF7"/>
    <w:rsid w:val="00DA2941"/>
    <w:rsid w:val="00DA2C64"/>
    <w:rsid w:val="00DA4F7E"/>
    <w:rsid w:val="00DA556C"/>
    <w:rsid w:val="00DB0FB7"/>
    <w:rsid w:val="00DB10AC"/>
    <w:rsid w:val="00DB4395"/>
    <w:rsid w:val="00DB5DFA"/>
    <w:rsid w:val="00DB60B9"/>
    <w:rsid w:val="00DB7351"/>
    <w:rsid w:val="00DC2380"/>
    <w:rsid w:val="00DC2946"/>
    <w:rsid w:val="00DC3F31"/>
    <w:rsid w:val="00DC4F4C"/>
    <w:rsid w:val="00DC55DB"/>
    <w:rsid w:val="00DC5DE6"/>
    <w:rsid w:val="00DC6650"/>
    <w:rsid w:val="00DC722B"/>
    <w:rsid w:val="00DD195B"/>
    <w:rsid w:val="00DD2151"/>
    <w:rsid w:val="00DD4EF4"/>
    <w:rsid w:val="00DD4F6E"/>
    <w:rsid w:val="00DD7476"/>
    <w:rsid w:val="00DE1490"/>
    <w:rsid w:val="00DE2469"/>
    <w:rsid w:val="00DE2743"/>
    <w:rsid w:val="00DE2899"/>
    <w:rsid w:val="00DE5D16"/>
    <w:rsid w:val="00DE5EAC"/>
    <w:rsid w:val="00DE75FA"/>
    <w:rsid w:val="00DF104C"/>
    <w:rsid w:val="00DF28A4"/>
    <w:rsid w:val="00DF57F0"/>
    <w:rsid w:val="00DF767C"/>
    <w:rsid w:val="00E01858"/>
    <w:rsid w:val="00E02523"/>
    <w:rsid w:val="00E03E18"/>
    <w:rsid w:val="00E07016"/>
    <w:rsid w:val="00E07102"/>
    <w:rsid w:val="00E11AB9"/>
    <w:rsid w:val="00E120CC"/>
    <w:rsid w:val="00E147D2"/>
    <w:rsid w:val="00E15233"/>
    <w:rsid w:val="00E15BBF"/>
    <w:rsid w:val="00E161CF"/>
    <w:rsid w:val="00E179F4"/>
    <w:rsid w:val="00E21BC5"/>
    <w:rsid w:val="00E24F77"/>
    <w:rsid w:val="00E30F58"/>
    <w:rsid w:val="00E31054"/>
    <w:rsid w:val="00E31AB0"/>
    <w:rsid w:val="00E3355A"/>
    <w:rsid w:val="00E33C07"/>
    <w:rsid w:val="00E33F56"/>
    <w:rsid w:val="00E341F6"/>
    <w:rsid w:val="00E3473E"/>
    <w:rsid w:val="00E34B27"/>
    <w:rsid w:val="00E363F5"/>
    <w:rsid w:val="00E40271"/>
    <w:rsid w:val="00E405ED"/>
    <w:rsid w:val="00E43503"/>
    <w:rsid w:val="00E4583D"/>
    <w:rsid w:val="00E471F9"/>
    <w:rsid w:val="00E473C0"/>
    <w:rsid w:val="00E47678"/>
    <w:rsid w:val="00E5133D"/>
    <w:rsid w:val="00E51FD3"/>
    <w:rsid w:val="00E53331"/>
    <w:rsid w:val="00E5357C"/>
    <w:rsid w:val="00E53B5E"/>
    <w:rsid w:val="00E53FB5"/>
    <w:rsid w:val="00E55F23"/>
    <w:rsid w:val="00E60CEC"/>
    <w:rsid w:val="00E61EB3"/>
    <w:rsid w:val="00E65266"/>
    <w:rsid w:val="00E65A93"/>
    <w:rsid w:val="00E67C22"/>
    <w:rsid w:val="00E739B4"/>
    <w:rsid w:val="00E80616"/>
    <w:rsid w:val="00E80805"/>
    <w:rsid w:val="00E85FE2"/>
    <w:rsid w:val="00E87A93"/>
    <w:rsid w:val="00E9078B"/>
    <w:rsid w:val="00E9101D"/>
    <w:rsid w:val="00E92730"/>
    <w:rsid w:val="00E936F0"/>
    <w:rsid w:val="00E93A2F"/>
    <w:rsid w:val="00E93B04"/>
    <w:rsid w:val="00E95288"/>
    <w:rsid w:val="00E95BF1"/>
    <w:rsid w:val="00E966B6"/>
    <w:rsid w:val="00EA117C"/>
    <w:rsid w:val="00EA14B4"/>
    <w:rsid w:val="00EA22C9"/>
    <w:rsid w:val="00EA42E5"/>
    <w:rsid w:val="00EA67B4"/>
    <w:rsid w:val="00EB0554"/>
    <w:rsid w:val="00EB0DE8"/>
    <w:rsid w:val="00EB1C5E"/>
    <w:rsid w:val="00EB4770"/>
    <w:rsid w:val="00EB4DD2"/>
    <w:rsid w:val="00EB564C"/>
    <w:rsid w:val="00EB64BC"/>
    <w:rsid w:val="00EB69A4"/>
    <w:rsid w:val="00EC3D1D"/>
    <w:rsid w:val="00EC4F25"/>
    <w:rsid w:val="00EC671C"/>
    <w:rsid w:val="00EC6B33"/>
    <w:rsid w:val="00EC733D"/>
    <w:rsid w:val="00EC7A92"/>
    <w:rsid w:val="00ED0AFB"/>
    <w:rsid w:val="00ED2CAA"/>
    <w:rsid w:val="00ED3DCF"/>
    <w:rsid w:val="00ED4FE4"/>
    <w:rsid w:val="00ED66CB"/>
    <w:rsid w:val="00ED6C66"/>
    <w:rsid w:val="00ED6EED"/>
    <w:rsid w:val="00EE53D7"/>
    <w:rsid w:val="00EE5B01"/>
    <w:rsid w:val="00EE6A17"/>
    <w:rsid w:val="00EE7CEB"/>
    <w:rsid w:val="00EF3A6F"/>
    <w:rsid w:val="00EF48DE"/>
    <w:rsid w:val="00EF5335"/>
    <w:rsid w:val="00EF7F8E"/>
    <w:rsid w:val="00F02A81"/>
    <w:rsid w:val="00F036D7"/>
    <w:rsid w:val="00F03FF9"/>
    <w:rsid w:val="00F04402"/>
    <w:rsid w:val="00F0658C"/>
    <w:rsid w:val="00F11C20"/>
    <w:rsid w:val="00F11C25"/>
    <w:rsid w:val="00F12C27"/>
    <w:rsid w:val="00F12F7D"/>
    <w:rsid w:val="00F136FB"/>
    <w:rsid w:val="00F16868"/>
    <w:rsid w:val="00F20623"/>
    <w:rsid w:val="00F209C8"/>
    <w:rsid w:val="00F2195A"/>
    <w:rsid w:val="00F221F0"/>
    <w:rsid w:val="00F22410"/>
    <w:rsid w:val="00F23D8B"/>
    <w:rsid w:val="00F25F79"/>
    <w:rsid w:val="00F3063A"/>
    <w:rsid w:val="00F3136F"/>
    <w:rsid w:val="00F31444"/>
    <w:rsid w:val="00F3189F"/>
    <w:rsid w:val="00F319B3"/>
    <w:rsid w:val="00F3550B"/>
    <w:rsid w:val="00F40D63"/>
    <w:rsid w:val="00F43E5C"/>
    <w:rsid w:val="00F45BD2"/>
    <w:rsid w:val="00F471A4"/>
    <w:rsid w:val="00F47D82"/>
    <w:rsid w:val="00F5193E"/>
    <w:rsid w:val="00F51B55"/>
    <w:rsid w:val="00F55F75"/>
    <w:rsid w:val="00F56886"/>
    <w:rsid w:val="00F570A9"/>
    <w:rsid w:val="00F60416"/>
    <w:rsid w:val="00F6066F"/>
    <w:rsid w:val="00F6080D"/>
    <w:rsid w:val="00F61590"/>
    <w:rsid w:val="00F619B1"/>
    <w:rsid w:val="00F62666"/>
    <w:rsid w:val="00F62E12"/>
    <w:rsid w:val="00F63F73"/>
    <w:rsid w:val="00F65B73"/>
    <w:rsid w:val="00F70C78"/>
    <w:rsid w:val="00F71096"/>
    <w:rsid w:val="00F75CFA"/>
    <w:rsid w:val="00F76247"/>
    <w:rsid w:val="00F801D9"/>
    <w:rsid w:val="00F80671"/>
    <w:rsid w:val="00F80CA8"/>
    <w:rsid w:val="00F81DBE"/>
    <w:rsid w:val="00F83F6C"/>
    <w:rsid w:val="00F8421D"/>
    <w:rsid w:val="00F8644B"/>
    <w:rsid w:val="00F90C9B"/>
    <w:rsid w:val="00F91E16"/>
    <w:rsid w:val="00F92C8A"/>
    <w:rsid w:val="00F9379C"/>
    <w:rsid w:val="00F95188"/>
    <w:rsid w:val="00F9781F"/>
    <w:rsid w:val="00FA25A9"/>
    <w:rsid w:val="00FA48AF"/>
    <w:rsid w:val="00FB1A59"/>
    <w:rsid w:val="00FB227F"/>
    <w:rsid w:val="00FB7347"/>
    <w:rsid w:val="00FC0EBE"/>
    <w:rsid w:val="00FC69B9"/>
    <w:rsid w:val="00FC7390"/>
    <w:rsid w:val="00FD0744"/>
    <w:rsid w:val="00FD0B61"/>
    <w:rsid w:val="00FD1357"/>
    <w:rsid w:val="00FD5A09"/>
    <w:rsid w:val="00FD61FE"/>
    <w:rsid w:val="00FD6913"/>
    <w:rsid w:val="00FE062C"/>
    <w:rsid w:val="00FE1093"/>
    <w:rsid w:val="00FE14C3"/>
    <w:rsid w:val="00FE185A"/>
    <w:rsid w:val="00FE27C4"/>
    <w:rsid w:val="00FE291D"/>
    <w:rsid w:val="00FE3A0E"/>
    <w:rsid w:val="00FE3E9F"/>
    <w:rsid w:val="00FE459D"/>
    <w:rsid w:val="00FE4A01"/>
    <w:rsid w:val="00FE4CE5"/>
    <w:rsid w:val="00FE5A72"/>
    <w:rsid w:val="00FE60A8"/>
    <w:rsid w:val="00FE6F1E"/>
    <w:rsid w:val="00FF04DD"/>
    <w:rsid w:val="00FF074A"/>
    <w:rsid w:val="00FF2144"/>
    <w:rsid w:val="00FF3810"/>
    <w:rsid w:val="11A4210E"/>
    <w:rsid w:val="40744B74"/>
    <w:rsid w:val="4377296B"/>
    <w:rsid w:val="441E7554"/>
    <w:rsid w:val="5D4D4BFB"/>
    <w:rsid w:val="65074988"/>
    <w:rsid w:val="7B8A3E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semiHidden="0"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2F7"/>
    <w:pPr>
      <w:adjustRightInd w:val="0"/>
      <w:snapToGrid w:val="0"/>
      <w:spacing w:after="200"/>
    </w:pPr>
    <w:rPr>
      <w:rFonts w:ascii="Tahoma" w:hAnsi="Tahoma"/>
      <w:sz w:val="22"/>
      <w:szCs w:val="22"/>
    </w:rPr>
  </w:style>
  <w:style w:type="paragraph" w:styleId="1">
    <w:name w:val="heading 1"/>
    <w:basedOn w:val="a"/>
    <w:next w:val="a"/>
    <w:link w:val="1Char"/>
    <w:uiPriority w:val="9"/>
    <w:qFormat/>
    <w:rsid w:val="00C3195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6F22F7"/>
    <w:rPr>
      <w:rFonts w:asciiTheme="majorHAnsi" w:eastAsia="黑体" w:hAnsiTheme="majorHAnsi" w:cstheme="majorBidi"/>
      <w:sz w:val="20"/>
      <w:szCs w:val="20"/>
    </w:rPr>
  </w:style>
  <w:style w:type="paragraph" w:styleId="a4">
    <w:name w:val="Balloon Text"/>
    <w:basedOn w:val="a"/>
    <w:link w:val="Char"/>
    <w:uiPriority w:val="99"/>
    <w:semiHidden/>
    <w:unhideWhenUsed/>
    <w:rsid w:val="006F22F7"/>
    <w:pPr>
      <w:spacing w:after="0"/>
    </w:pPr>
    <w:rPr>
      <w:sz w:val="18"/>
      <w:szCs w:val="18"/>
    </w:rPr>
  </w:style>
  <w:style w:type="paragraph" w:styleId="a5">
    <w:name w:val="footer"/>
    <w:basedOn w:val="a"/>
    <w:link w:val="Char0"/>
    <w:uiPriority w:val="99"/>
    <w:unhideWhenUsed/>
    <w:rsid w:val="006F22F7"/>
    <w:pPr>
      <w:tabs>
        <w:tab w:val="center" w:pos="4153"/>
        <w:tab w:val="right" w:pos="8306"/>
      </w:tabs>
    </w:pPr>
    <w:rPr>
      <w:sz w:val="18"/>
      <w:szCs w:val="18"/>
    </w:rPr>
  </w:style>
  <w:style w:type="paragraph" w:styleId="a6">
    <w:name w:val="header"/>
    <w:basedOn w:val="a"/>
    <w:link w:val="Char1"/>
    <w:uiPriority w:val="99"/>
    <w:semiHidden/>
    <w:unhideWhenUsed/>
    <w:rsid w:val="006F22F7"/>
    <w:pPr>
      <w:pBdr>
        <w:bottom w:val="single" w:sz="6" w:space="1" w:color="auto"/>
      </w:pBdr>
      <w:tabs>
        <w:tab w:val="center" w:pos="4153"/>
        <w:tab w:val="right" w:pos="8306"/>
      </w:tabs>
      <w:jc w:val="center"/>
    </w:pPr>
    <w:rPr>
      <w:sz w:val="18"/>
      <w:szCs w:val="18"/>
    </w:rPr>
  </w:style>
  <w:style w:type="table" w:styleId="a7">
    <w:name w:val="Table Grid"/>
    <w:basedOn w:val="a1"/>
    <w:uiPriority w:val="59"/>
    <w:rsid w:val="006F2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6F22F7"/>
    <w:rPr>
      <w:color w:val="107EBF"/>
      <w:u w:val="none"/>
    </w:rPr>
  </w:style>
  <w:style w:type="character" w:customStyle="1" w:styleId="Char1">
    <w:name w:val="页眉 Char"/>
    <w:basedOn w:val="a0"/>
    <w:link w:val="a6"/>
    <w:uiPriority w:val="99"/>
    <w:semiHidden/>
    <w:qFormat/>
    <w:rsid w:val="006F22F7"/>
    <w:rPr>
      <w:rFonts w:ascii="Tahoma" w:hAnsi="Tahoma"/>
      <w:sz w:val="18"/>
      <w:szCs w:val="18"/>
    </w:rPr>
  </w:style>
  <w:style w:type="character" w:customStyle="1" w:styleId="Char0">
    <w:name w:val="页脚 Char"/>
    <w:basedOn w:val="a0"/>
    <w:link w:val="a5"/>
    <w:uiPriority w:val="99"/>
    <w:rsid w:val="006F22F7"/>
    <w:rPr>
      <w:rFonts w:ascii="Tahoma" w:hAnsi="Tahoma"/>
      <w:sz w:val="18"/>
      <w:szCs w:val="18"/>
    </w:rPr>
  </w:style>
  <w:style w:type="paragraph" w:customStyle="1" w:styleId="TableParagraph">
    <w:name w:val="Table Paragraph"/>
    <w:basedOn w:val="a"/>
    <w:uiPriority w:val="1"/>
    <w:qFormat/>
    <w:rsid w:val="006F22F7"/>
    <w:pPr>
      <w:widowControl w:val="0"/>
      <w:adjustRightInd/>
      <w:snapToGrid/>
      <w:spacing w:after="0"/>
    </w:pPr>
    <w:rPr>
      <w:rFonts w:asciiTheme="minorHAnsi" w:eastAsiaTheme="minorEastAsia" w:hAnsiTheme="minorHAnsi"/>
      <w:lang w:eastAsia="en-US"/>
    </w:rPr>
  </w:style>
  <w:style w:type="character" w:customStyle="1" w:styleId="Char">
    <w:name w:val="批注框文本 Char"/>
    <w:basedOn w:val="a0"/>
    <w:link w:val="a4"/>
    <w:uiPriority w:val="99"/>
    <w:semiHidden/>
    <w:rsid w:val="006F22F7"/>
    <w:rPr>
      <w:rFonts w:ascii="Tahoma" w:hAnsi="Tahoma"/>
      <w:sz w:val="18"/>
      <w:szCs w:val="18"/>
    </w:rPr>
  </w:style>
  <w:style w:type="paragraph" w:styleId="a9">
    <w:name w:val="List Paragraph"/>
    <w:basedOn w:val="a"/>
    <w:uiPriority w:val="34"/>
    <w:qFormat/>
    <w:rsid w:val="006F22F7"/>
    <w:pPr>
      <w:ind w:firstLineChars="200" w:firstLine="420"/>
    </w:pPr>
  </w:style>
  <w:style w:type="paragraph" w:customStyle="1" w:styleId="Default">
    <w:name w:val="Default"/>
    <w:rsid w:val="00E3355A"/>
    <w:pPr>
      <w:widowControl w:val="0"/>
      <w:autoSpaceDE w:val="0"/>
      <w:autoSpaceDN w:val="0"/>
      <w:adjustRightInd w:val="0"/>
    </w:pPr>
    <w:rPr>
      <w:rFonts w:ascii="仿宋_GB2312" w:hAnsi="仿宋_GB2312" w:cs="仿宋_GB2312"/>
      <w:color w:val="000000"/>
      <w:sz w:val="24"/>
      <w:szCs w:val="24"/>
    </w:rPr>
  </w:style>
  <w:style w:type="character" w:customStyle="1" w:styleId="1Char">
    <w:name w:val="标题 1 Char"/>
    <w:basedOn w:val="a0"/>
    <w:link w:val="1"/>
    <w:uiPriority w:val="9"/>
    <w:rsid w:val="00C3195B"/>
    <w:rPr>
      <w:rFonts w:ascii="Tahoma" w:hAnsi="Tahoma"/>
      <w:b/>
      <w:bCs/>
      <w:kern w:val="44"/>
      <w:sz w:val="44"/>
      <w:szCs w:val="44"/>
    </w:rPr>
  </w:style>
</w:styles>
</file>

<file path=word/webSettings.xml><?xml version="1.0" encoding="utf-8"?>
<w:webSettings xmlns:r="http://schemas.openxmlformats.org/officeDocument/2006/relationships" xmlns:w="http://schemas.openxmlformats.org/wordprocessingml/2006/main">
  <w:divs>
    <w:div w:id="171531999">
      <w:bodyDiv w:val="1"/>
      <w:marLeft w:val="0"/>
      <w:marRight w:val="0"/>
      <w:marTop w:val="0"/>
      <w:marBottom w:val="0"/>
      <w:divBdr>
        <w:top w:val="none" w:sz="0" w:space="0" w:color="auto"/>
        <w:left w:val="none" w:sz="0" w:space="0" w:color="auto"/>
        <w:bottom w:val="none" w:sz="0" w:space="0" w:color="auto"/>
        <w:right w:val="none" w:sz="0" w:space="0" w:color="auto"/>
      </w:divBdr>
    </w:div>
    <w:div w:id="420418526">
      <w:bodyDiv w:val="1"/>
      <w:marLeft w:val="0"/>
      <w:marRight w:val="0"/>
      <w:marTop w:val="0"/>
      <w:marBottom w:val="0"/>
      <w:divBdr>
        <w:top w:val="none" w:sz="0" w:space="0" w:color="auto"/>
        <w:left w:val="none" w:sz="0" w:space="0" w:color="auto"/>
        <w:bottom w:val="none" w:sz="0" w:space="0" w:color="auto"/>
        <w:right w:val="none" w:sz="0" w:space="0" w:color="auto"/>
      </w:divBdr>
    </w:div>
    <w:div w:id="526790984">
      <w:bodyDiv w:val="1"/>
      <w:marLeft w:val="0"/>
      <w:marRight w:val="0"/>
      <w:marTop w:val="0"/>
      <w:marBottom w:val="0"/>
      <w:divBdr>
        <w:top w:val="none" w:sz="0" w:space="0" w:color="auto"/>
        <w:left w:val="none" w:sz="0" w:space="0" w:color="auto"/>
        <w:bottom w:val="none" w:sz="0" w:space="0" w:color="auto"/>
        <w:right w:val="none" w:sz="0" w:space="0" w:color="auto"/>
      </w:divBdr>
    </w:div>
    <w:div w:id="713846354">
      <w:bodyDiv w:val="1"/>
      <w:marLeft w:val="0"/>
      <w:marRight w:val="0"/>
      <w:marTop w:val="0"/>
      <w:marBottom w:val="0"/>
      <w:divBdr>
        <w:top w:val="none" w:sz="0" w:space="0" w:color="auto"/>
        <w:left w:val="none" w:sz="0" w:space="0" w:color="auto"/>
        <w:bottom w:val="none" w:sz="0" w:space="0" w:color="auto"/>
        <w:right w:val="none" w:sz="0" w:space="0" w:color="auto"/>
      </w:divBdr>
    </w:div>
    <w:div w:id="758795288">
      <w:bodyDiv w:val="1"/>
      <w:marLeft w:val="0"/>
      <w:marRight w:val="0"/>
      <w:marTop w:val="0"/>
      <w:marBottom w:val="0"/>
      <w:divBdr>
        <w:top w:val="none" w:sz="0" w:space="0" w:color="auto"/>
        <w:left w:val="none" w:sz="0" w:space="0" w:color="auto"/>
        <w:bottom w:val="none" w:sz="0" w:space="0" w:color="auto"/>
        <w:right w:val="none" w:sz="0" w:space="0" w:color="auto"/>
      </w:divBdr>
    </w:div>
    <w:div w:id="771245702">
      <w:bodyDiv w:val="1"/>
      <w:marLeft w:val="0"/>
      <w:marRight w:val="0"/>
      <w:marTop w:val="0"/>
      <w:marBottom w:val="0"/>
      <w:divBdr>
        <w:top w:val="none" w:sz="0" w:space="0" w:color="auto"/>
        <w:left w:val="none" w:sz="0" w:space="0" w:color="auto"/>
        <w:bottom w:val="none" w:sz="0" w:space="0" w:color="auto"/>
        <w:right w:val="none" w:sz="0" w:space="0" w:color="auto"/>
      </w:divBdr>
    </w:div>
    <w:div w:id="867061966">
      <w:bodyDiv w:val="1"/>
      <w:marLeft w:val="0"/>
      <w:marRight w:val="0"/>
      <w:marTop w:val="0"/>
      <w:marBottom w:val="0"/>
      <w:divBdr>
        <w:top w:val="none" w:sz="0" w:space="0" w:color="auto"/>
        <w:left w:val="none" w:sz="0" w:space="0" w:color="auto"/>
        <w:bottom w:val="none" w:sz="0" w:space="0" w:color="auto"/>
        <w:right w:val="none" w:sz="0" w:space="0" w:color="auto"/>
      </w:divBdr>
      <w:divsChild>
        <w:div w:id="1797481754">
          <w:marLeft w:val="0"/>
          <w:marRight w:val="0"/>
          <w:marTop w:val="0"/>
          <w:marBottom w:val="0"/>
          <w:divBdr>
            <w:top w:val="single" w:sz="2" w:space="0" w:color="99BBE8"/>
            <w:left w:val="single" w:sz="2" w:space="0" w:color="99BBE8"/>
            <w:bottom w:val="single" w:sz="2" w:space="0" w:color="99BBE8"/>
            <w:right w:val="single" w:sz="2" w:space="0" w:color="99BBE8"/>
          </w:divBdr>
          <w:divsChild>
            <w:div w:id="132915175">
              <w:marLeft w:val="0"/>
              <w:marRight w:val="0"/>
              <w:marTop w:val="0"/>
              <w:marBottom w:val="0"/>
              <w:divBdr>
                <w:top w:val="none" w:sz="0" w:space="0" w:color="auto"/>
                <w:left w:val="none" w:sz="0" w:space="0" w:color="auto"/>
                <w:bottom w:val="none" w:sz="0" w:space="0" w:color="auto"/>
                <w:right w:val="none" w:sz="0" w:space="0" w:color="auto"/>
              </w:divBdr>
              <w:divsChild>
                <w:div w:id="2045474424">
                  <w:marLeft w:val="0"/>
                  <w:marRight w:val="0"/>
                  <w:marTop w:val="0"/>
                  <w:marBottom w:val="0"/>
                  <w:divBdr>
                    <w:top w:val="none" w:sz="0" w:space="0" w:color="auto"/>
                    <w:left w:val="none" w:sz="0" w:space="0" w:color="auto"/>
                    <w:bottom w:val="none" w:sz="0" w:space="0" w:color="auto"/>
                    <w:right w:val="none" w:sz="0" w:space="0" w:color="auto"/>
                  </w:divBdr>
                  <w:divsChild>
                    <w:div w:id="1624845627">
                      <w:marLeft w:val="0"/>
                      <w:marRight w:val="0"/>
                      <w:marTop w:val="0"/>
                      <w:marBottom w:val="0"/>
                      <w:divBdr>
                        <w:top w:val="none" w:sz="0" w:space="0" w:color="auto"/>
                        <w:left w:val="none" w:sz="0" w:space="0" w:color="auto"/>
                        <w:bottom w:val="none" w:sz="0" w:space="0" w:color="auto"/>
                        <w:right w:val="none" w:sz="0" w:space="0" w:color="auto"/>
                      </w:divBdr>
                    </w:div>
                    <w:div w:id="908081458">
                      <w:marLeft w:val="0"/>
                      <w:marRight w:val="0"/>
                      <w:marTop w:val="0"/>
                      <w:marBottom w:val="0"/>
                      <w:divBdr>
                        <w:top w:val="none" w:sz="0" w:space="0" w:color="auto"/>
                        <w:left w:val="none" w:sz="0" w:space="0" w:color="auto"/>
                        <w:bottom w:val="none" w:sz="0" w:space="0" w:color="auto"/>
                        <w:right w:val="none" w:sz="0" w:space="0" w:color="auto"/>
                      </w:divBdr>
                    </w:div>
                    <w:div w:id="1307278117">
                      <w:marLeft w:val="0"/>
                      <w:marRight w:val="0"/>
                      <w:marTop w:val="0"/>
                      <w:marBottom w:val="0"/>
                      <w:divBdr>
                        <w:top w:val="none" w:sz="0" w:space="0" w:color="auto"/>
                        <w:left w:val="none" w:sz="0" w:space="0" w:color="auto"/>
                        <w:bottom w:val="none" w:sz="0" w:space="0" w:color="auto"/>
                        <w:right w:val="none" w:sz="0" w:space="0" w:color="auto"/>
                      </w:divBdr>
                    </w:div>
                    <w:div w:id="1686201257">
                      <w:marLeft w:val="0"/>
                      <w:marRight w:val="0"/>
                      <w:marTop w:val="0"/>
                      <w:marBottom w:val="0"/>
                      <w:divBdr>
                        <w:top w:val="none" w:sz="0" w:space="0" w:color="auto"/>
                        <w:left w:val="none" w:sz="0" w:space="0" w:color="auto"/>
                        <w:bottom w:val="none" w:sz="0" w:space="0" w:color="auto"/>
                        <w:right w:val="none" w:sz="0" w:space="0" w:color="auto"/>
                      </w:divBdr>
                    </w:div>
                    <w:div w:id="2142647495">
                      <w:marLeft w:val="0"/>
                      <w:marRight w:val="0"/>
                      <w:marTop w:val="0"/>
                      <w:marBottom w:val="0"/>
                      <w:divBdr>
                        <w:top w:val="none" w:sz="0" w:space="0" w:color="auto"/>
                        <w:left w:val="none" w:sz="0" w:space="0" w:color="auto"/>
                        <w:bottom w:val="none" w:sz="0" w:space="0" w:color="auto"/>
                        <w:right w:val="none" w:sz="0" w:space="0" w:color="auto"/>
                      </w:divBdr>
                    </w:div>
                    <w:div w:id="1016154254">
                      <w:marLeft w:val="0"/>
                      <w:marRight w:val="0"/>
                      <w:marTop w:val="0"/>
                      <w:marBottom w:val="0"/>
                      <w:divBdr>
                        <w:top w:val="none" w:sz="0" w:space="0" w:color="auto"/>
                        <w:left w:val="none" w:sz="0" w:space="0" w:color="auto"/>
                        <w:bottom w:val="none" w:sz="0" w:space="0" w:color="auto"/>
                        <w:right w:val="none" w:sz="0" w:space="0" w:color="auto"/>
                      </w:divBdr>
                    </w:div>
                    <w:div w:id="2123186460">
                      <w:marLeft w:val="0"/>
                      <w:marRight w:val="0"/>
                      <w:marTop w:val="0"/>
                      <w:marBottom w:val="0"/>
                      <w:divBdr>
                        <w:top w:val="none" w:sz="0" w:space="0" w:color="auto"/>
                        <w:left w:val="none" w:sz="0" w:space="0" w:color="auto"/>
                        <w:bottom w:val="none" w:sz="0" w:space="0" w:color="auto"/>
                        <w:right w:val="none" w:sz="0" w:space="0" w:color="auto"/>
                      </w:divBdr>
                    </w:div>
                    <w:div w:id="1791967977">
                      <w:marLeft w:val="0"/>
                      <w:marRight w:val="0"/>
                      <w:marTop w:val="0"/>
                      <w:marBottom w:val="0"/>
                      <w:divBdr>
                        <w:top w:val="none" w:sz="0" w:space="0" w:color="auto"/>
                        <w:left w:val="none" w:sz="0" w:space="0" w:color="auto"/>
                        <w:bottom w:val="none" w:sz="0" w:space="0" w:color="auto"/>
                        <w:right w:val="none" w:sz="0" w:space="0" w:color="auto"/>
                      </w:divBdr>
                    </w:div>
                    <w:div w:id="1977712450">
                      <w:marLeft w:val="0"/>
                      <w:marRight w:val="0"/>
                      <w:marTop w:val="0"/>
                      <w:marBottom w:val="0"/>
                      <w:divBdr>
                        <w:top w:val="none" w:sz="0" w:space="0" w:color="auto"/>
                        <w:left w:val="none" w:sz="0" w:space="0" w:color="auto"/>
                        <w:bottom w:val="none" w:sz="0" w:space="0" w:color="auto"/>
                        <w:right w:val="none" w:sz="0" w:space="0" w:color="auto"/>
                      </w:divBdr>
                    </w:div>
                    <w:div w:id="624510338">
                      <w:marLeft w:val="0"/>
                      <w:marRight w:val="0"/>
                      <w:marTop w:val="0"/>
                      <w:marBottom w:val="0"/>
                      <w:divBdr>
                        <w:top w:val="none" w:sz="0" w:space="0" w:color="auto"/>
                        <w:left w:val="none" w:sz="0" w:space="0" w:color="auto"/>
                        <w:bottom w:val="none" w:sz="0" w:space="0" w:color="auto"/>
                        <w:right w:val="none" w:sz="0" w:space="0" w:color="auto"/>
                      </w:divBdr>
                    </w:div>
                    <w:div w:id="752700993">
                      <w:marLeft w:val="0"/>
                      <w:marRight w:val="0"/>
                      <w:marTop w:val="0"/>
                      <w:marBottom w:val="0"/>
                      <w:divBdr>
                        <w:top w:val="none" w:sz="0" w:space="0" w:color="auto"/>
                        <w:left w:val="none" w:sz="0" w:space="0" w:color="auto"/>
                        <w:bottom w:val="none" w:sz="0" w:space="0" w:color="auto"/>
                        <w:right w:val="none" w:sz="0" w:space="0" w:color="auto"/>
                      </w:divBdr>
                    </w:div>
                    <w:div w:id="746466326">
                      <w:marLeft w:val="0"/>
                      <w:marRight w:val="0"/>
                      <w:marTop w:val="0"/>
                      <w:marBottom w:val="0"/>
                      <w:divBdr>
                        <w:top w:val="none" w:sz="0" w:space="0" w:color="auto"/>
                        <w:left w:val="none" w:sz="0" w:space="0" w:color="auto"/>
                        <w:bottom w:val="none" w:sz="0" w:space="0" w:color="auto"/>
                        <w:right w:val="none" w:sz="0" w:space="0" w:color="auto"/>
                      </w:divBdr>
                    </w:div>
                    <w:div w:id="1877156947">
                      <w:marLeft w:val="0"/>
                      <w:marRight w:val="0"/>
                      <w:marTop w:val="0"/>
                      <w:marBottom w:val="0"/>
                      <w:divBdr>
                        <w:top w:val="none" w:sz="0" w:space="0" w:color="auto"/>
                        <w:left w:val="none" w:sz="0" w:space="0" w:color="auto"/>
                        <w:bottom w:val="none" w:sz="0" w:space="0" w:color="auto"/>
                        <w:right w:val="none" w:sz="0" w:space="0" w:color="auto"/>
                      </w:divBdr>
                    </w:div>
                    <w:div w:id="153034699">
                      <w:marLeft w:val="0"/>
                      <w:marRight w:val="0"/>
                      <w:marTop w:val="0"/>
                      <w:marBottom w:val="0"/>
                      <w:divBdr>
                        <w:top w:val="none" w:sz="0" w:space="0" w:color="auto"/>
                        <w:left w:val="none" w:sz="0" w:space="0" w:color="auto"/>
                        <w:bottom w:val="none" w:sz="0" w:space="0" w:color="auto"/>
                        <w:right w:val="none" w:sz="0" w:space="0" w:color="auto"/>
                      </w:divBdr>
                    </w:div>
                    <w:div w:id="1381590232">
                      <w:marLeft w:val="0"/>
                      <w:marRight w:val="0"/>
                      <w:marTop w:val="0"/>
                      <w:marBottom w:val="0"/>
                      <w:divBdr>
                        <w:top w:val="none" w:sz="0" w:space="0" w:color="auto"/>
                        <w:left w:val="none" w:sz="0" w:space="0" w:color="auto"/>
                        <w:bottom w:val="none" w:sz="0" w:space="0" w:color="auto"/>
                        <w:right w:val="none" w:sz="0" w:space="0" w:color="auto"/>
                      </w:divBdr>
                    </w:div>
                    <w:div w:id="1328705685">
                      <w:marLeft w:val="0"/>
                      <w:marRight w:val="0"/>
                      <w:marTop w:val="0"/>
                      <w:marBottom w:val="0"/>
                      <w:divBdr>
                        <w:top w:val="none" w:sz="0" w:space="0" w:color="auto"/>
                        <w:left w:val="none" w:sz="0" w:space="0" w:color="auto"/>
                        <w:bottom w:val="none" w:sz="0" w:space="0" w:color="auto"/>
                        <w:right w:val="none" w:sz="0" w:space="0" w:color="auto"/>
                      </w:divBdr>
                    </w:div>
                    <w:div w:id="1021590888">
                      <w:marLeft w:val="0"/>
                      <w:marRight w:val="0"/>
                      <w:marTop w:val="0"/>
                      <w:marBottom w:val="0"/>
                      <w:divBdr>
                        <w:top w:val="none" w:sz="0" w:space="0" w:color="auto"/>
                        <w:left w:val="none" w:sz="0" w:space="0" w:color="auto"/>
                        <w:bottom w:val="none" w:sz="0" w:space="0" w:color="auto"/>
                        <w:right w:val="none" w:sz="0" w:space="0" w:color="auto"/>
                      </w:divBdr>
                    </w:div>
                    <w:div w:id="1336223459">
                      <w:marLeft w:val="0"/>
                      <w:marRight w:val="0"/>
                      <w:marTop w:val="0"/>
                      <w:marBottom w:val="0"/>
                      <w:divBdr>
                        <w:top w:val="none" w:sz="0" w:space="0" w:color="auto"/>
                        <w:left w:val="none" w:sz="0" w:space="0" w:color="auto"/>
                        <w:bottom w:val="none" w:sz="0" w:space="0" w:color="auto"/>
                        <w:right w:val="none" w:sz="0" w:space="0" w:color="auto"/>
                      </w:divBdr>
                    </w:div>
                    <w:div w:id="1672371017">
                      <w:marLeft w:val="0"/>
                      <w:marRight w:val="0"/>
                      <w:marTop w:val="0"/>
                      <w:marBottom w:val="0"/>
                      <w:divBdr>
                        <w:top w:val="none" w:sz="0" w:space="0" w:color="auto"/>
                        <w:left w:val="none" w:sz="0" w:space="0" w:color="auto"/>
                        <w:bottom w:val="none" w:sz="0" w:space="0" w:color="auto"/>
                        <w:right w:val="none" w:sz="0" w:space="0" w:color="auto"/>
                      </w:divBdr>
                    </w:div>
                    <w:div w:id="518783329">
                      <w:marLeft w:val="0"/>
                      <w:marRight w:val="0"/>
                      <w:marTop w:val="0"/>
                      <w:marBottom w:val="0"/>
                      <w:divBdr>
                        <w:top w:val="none" w:sz="0" w:space="0" w:color="auto"/>
                        <w:left w:val="none" w:sz="0" w:space="0" w:color="auto"/>
                        <w:bottom w:val="none" w:sz="0" w:space="0" w:color="auto"/>
                        <w:right w:val="none" w:sz="0" w:space="0" w:color="auto"/>
                      </w:divBdr>
                    </w:div>
                    <w:div w:id="2119324759">
                      <w:marLeft w:val="0"/>
                      <w:marRight w:val="0"/>
                      <w:marTop w:val="0"/>
                      <w:marBottom w:val="0"/>
                      <w:divBdr>
                        <w:top w:val="none" w:sz="0" w:space="0" w:color="auto"/>
                        <w:left w:val="none" w:sz="0" w:space="0" w:color="auto"/>
                        <w:bottom w:val="none" w:sz="0" w:space="0" w:color="auto"/>
                        <w:right w:val="none" w:sz="0" w:space="0" w:color="auto"/>
                      </w:divBdr>
                    </w:div>
                    <w:div w:id="603071783">
                      <w:marLeft w:val="0"/>
                      <w:marRight w:val="0"/>
                      <w:marTop w:val="0"/>
                      <w:marBottom w:val="0"/>
                      <w:divBdr>
                        <w:top w:val="none" w:sz="0" w:space="0" w:color="auto"/>
                        <w:left w:val="none" w:sz="0" w:space="0" w:color="auto"/>
                        <w:bottom w:val="none" w:sz="0" w:space="0" w:color="auto"/>
                        <w:right w:val="none" w:sz="0" w:space="0" w:color="auto"/>
                      </w:divBdr>
                    </w:div>
                    <w:div w:id="1829318826">
                      <w:marLeft w:val="0"/>
                      <w:marRight w:val="0"/>
                      <w:marTop w:val="0"/>
                      <w:marBottom w:val="0"/>
                      <w:divBdr>
                        <w:top w:val="none" w:sz="0" w:space="0" w:color="auto"/>
                        <w:left w:val="none" w:sz="0" w:space="0" w:color="auto"/>
                        <w:bottom w:val="none" w:sz="0" w:space="0" w:color="auto"/>
                        <w:right w:val="none" w:sz="0" w:space="0" w:color="auto"/>
                      </w:divBdr>
                    </w:div>
                    <w:div w:id="49312575">
                      <w:marLeft w:val="0"/>
                      <w:marRight w:val="0"/>
                      <w:marTop w:val="0"/>
                      <w:marBottom w:val="0"/>
                      <w:divBdr>
                        <w:top w:val="none" w:sz="0" w:space="0" w:color="auto"/>
                        <w:left w:val="none" w:sz="0" w:space="0" w:color="auto"/>
                        <w:bottom w:val="none" w:sz="0" w:space="0" w:color="auto"/>
                        <w:right w:val="none" w:sz="0" w:space="0" w:color="auto"/>
                      </w:divBdr>
                    </w:div>
                    <w:div w:id="1783723534">
                      <w:marLeft w:val="0"/>
                      <w:marRight w:val="0"/>
                      <w:marTop w:val="0"/>
                      <w:marBottom w:val="0"/>
                      <w:divBdr>
                        <w:top w:val="none" w:sz="0" w:space="0" w:color="auto"/>
                        <w:left w:val="none" w:sz="0" w:space="0" w:color="auto"/>
                        <w:bottom w:val="none" w:sz="0" w:space="0" w:color="auto"/>
                        <w:right w:val="none" w:sz="0" w:space="0" w:color="auto"/>
                      </w:divBdr>
                    </w:div>
                    <w:div w:id="278687587">
                      <w:marLeft w:val="0"/>
                      <w:marRight w:val="0"/>
                      <w:marTop w:val="0"/>
                      <w:marBottom w:val="0"/>
                      <w:divBdr>
                        <w:top w:val="none" w:sz="0" w:space="0" w:color="auto"/>
                        <w:left w:val="none" w:sz="0" w:space="0" w:color="auto"/>
                        <w:bottom w:val="none" w:sz="0" w:space="0" w:color="auto"/>
                        <w:right w:val="none" w:sz="0" w:space="0" w:color="auto"/>
                      </w:divBdr>
                    </w:div>
                    <w:div w:id="1461606424">
                      <w:marLeft w:val="0"/>
                      <w:marRight w:val="0"/>
                      <w:marTop w:val="0"/>
                      <w:marBottom w:val="0"/>
                      <w:divBdr>
                        <w:top w:val="none" w:sz="0" w:space="0" w:color="auto"/>
                        <w:left w:val="none" w:sz="0" w:space="0" w:color="auto"/>
                        <w:bottom w:val="none" w:sz="0" w:space="0" w:color="auto"/>
                        <w:right w:val="none" w:sz="0" w:space="0" w:color="auto"/>
                      </w:divBdr>
                    </w:div>
                    <w:div w:id="760178700">
                      <w:marLeft w:val="0"/>
                      <w:marRight w:val="0"/>
                      <w:marTop w:val="0"/>
                      <w:marBottom w:val="0"/>
                      <w:divBdr>
                        <w:top w:val="none" w:sz="0" w:space="0" w:color="auto"/>
                        <w:left w:val="none" w:sz="0" w:space="0" w:color="auto"/>
                        <w:bottom w:val="none" w:sz="0" w:space="0" w:color="auto"/>
                        <w:right w:val="none" w:sz="0" w:space="0" w:color="auto"/>
                      </w:divBdr>
                    </w:div>
                    <w:div w:id="716660966">
                      <w:marLeft w:val="0"/>
                      <w:marRight w:val="0"/>
                      <w:marTop w:val="0"/>
                      <w:marBottom w:val="0"/>
                      <w:divBdr>
                        <w:top w:val="none" w:sz="0" w:space="0" w:color="auto"/>
                        <w:left w:val="none" w:sz="0" w:space="0" w:color="auto"/>
                        <w:bottom w:val="none" w:sz="0" w:space="0" w:color="auto"/>
                        <w:right w:val="none" w:sz="0" w:space="0" w:color="auto"/>
                      </w:divBdr>
                    </w:div>
                    <w:div w:id="150408849">
                      <w:marLeft w:val="0"/>
                      <w:marRight w:val="0"/>
                      <w:marTop w:val="0"/>
                      <w:marBottom w:val="0"/>
                      <w:divBdr>
                        <w:top w:val="none" w:sz="0" w:space="0" w:color="auto"/>
                        <w:left w:val="none" w:sz="0" w:space="0" w:color="auto"/>
                        <w:bottom w:val="none" w:sz="0" w:space="0" w:color="auto"/>
                        <w:right w:val="none" w:sz="0" w:space="0" w:color="auto"/>
                      </w:divBdr>
                    </w:div>
                    <w:div w:id="1672445467">
                      <w:marLeft w:val="0"/>
                      <w:marRight w:val="0"/>
                      <w:marTop w:val="0"/>
                      <w:marBottom w:val="0"/>
                      <w:divBdr>
                        <w:top w:val="none" w:sz="0" w:space="0" w:color="auto"/>
                        <w:left w:val="none" w:sz="0" w:space="0" w:color="auto"/>
                        <w:bottom w:val="none" w:sz="0" w:space="0" w:color="auto"/>
                        <w:right w:val="none" w:sz="0" w:space="0" w:color="auto"/>
                      </w:divBdr>
                    </w:div>
                    <w:div w:id="1852720827">
                      <w:marLeft w:val="0"/>
                      <w:marRight w:val="0"/>
                      <w:marTop w:val="0"/>
                      <w:marBottom w:val="0"/>
                      <w:divBdr>
                        <w:top w:val="none" w:sz="0" w:space="0" w:color="auto"/>
                        <w:left w:val="none" w:sz="0" w:space="0" w:color="auto"/>
                        <w:bottom w:val="none" w:sz="0" w:space="0" w:color="auto"/>
                        <w:right w:val="none" w:sz="0" w:space="0" w:color="auto"/>
                      </w:divBdr>
                    </w:div>
                    <w:div w:id="117258581">
                      <w:marLeft w:val="0"/>
                      <w:marRight w:val="0"/>
                      <w:marTop w:val="0"/>
                      <w:marBottom w:val="0"/>
                      <w:divBdr>
                        <w:top w:val="none" w:sz="0" w:space="0" w:color="auto"/>
                        <w:left w:val="none" w:sz="0" w:space="0" w:color="auto"/>
                        <w:bottom w:val="none" w:sz="0" w:space="0" w:color="auto"/>
                        <w:right w:val="none" w:sz="0" w:space="0" w:color="auto"/>
                      </w:divBdr>
                    </w:div>
                    <w:div w:id="499195607">
                      <w:marLeft w:val="0"/>
                      <w:marRight w:val="0"/>
                      <w:marTop w:val="0"/>
                      <w:marBottom w:val="0"/>
                      <w:divBdr>
                        <w:top w:val="none" w:sz="0" w:space="0" w:color="auto"/>
                        <w:left w:val="none" w:sz="0" w:space="0" w:color="auto"/>
                        <w:bottom w:val="none" w:sz="0" w:space="0" w:color="auto"/>
                        <w:right w:val="none" w:sz="0" w:space="0" w:color="auto"/>
                      </w:divBdr>
                    </w:div>
                    <w:div w:id="856426803">
                      <w:marLeft w:val="0"/>
                      <w:marRight w:val="0"/>
                      <w:marTop w:val="0"/>
                      <w:marBottom w:val="0"/>
                      <w:divBdr>
                        <w:top w:val="none" w:sz="0" w:space="0" w:color="auto"/>
                        <w:left w:val="none" w:sz="0" w:space="0" w:color="auto"/>
                        <w:bottom w:val="none" w:sz="0" w:space="0" w:color="auto"/>
                        <w:right w:val="none" w:sz="0" w:space="0" w:color="auto"/>
                      </w:divBdr>
                    </w:div>
                    <w:div w:id="1815172004">
                      <w:marLeft w:val="0"/>
                      <w:marRight w:val="0"/>
                      <w:marTop w:val="0"/>
                      <w:marBottom w:val="0"/>
                      <w:divBdr>
                        <w:top w:val="none" w:sz="0" w:space="0" w:color="auto"/>
                        <w:left w:val="none" w:sz="0" w:space="0" w:color="auto"/>
                        <w:bottom w:val="none" w:sz="0" w:space="0" w:color="auto"/>
                        <w:right w:val="none" w:sz="0" w:space="0" w:color="auto"/>
                      </w:divBdr>
                    </w:div>
                    <w:div w:id="1820414875">
                      <w:marLeft w:val="0"/>
                      <w:marRight w:val="0"/>
                      <w:marTop w:val="0"/>
                      <w:marBottom w:val="0"/>
                      <w:divBdr>
                        <w:top w:val="none" w:sz="0" w:space="0" w:color="auto"/>
                        <w:left w:val="none" w:sz="0" w:space="0" w:color="auto"/>
                        <w:bottom w:val="none" w:sz="0" w:space="0" w:color="auto"/>
                        <w:right w:val="none" w:sz="0" w:space="0" w:color="auto"/>
                      </w:divBdr>
                    </w:div>
                    <w:div w:id="195391313">
                      <w:marLeft w:val="0"/>
                      <w:marRight w:val="0"/>
                      <w:marTop w:val="0"/>
                      <w:marBottom w:val="0"/>
                      <w:divBdr>
                        <w:top w:val="none" w:sz="0" w:space="0" w:color="auto"/>
                        <w:left w:val="none" w:sz="0" w:space="0" w:color="auto"/>
                        <w:bottom w:val="none" w:sz="0" w:space="0" w:color="auto"/>
                        <w:right w:val="none" w:sz="0" w:space="0" w:color="auto"/>
                      </w:divBdr>
                    </w:div>
                    <w:div w:id="334303563">
                      <w:marLeft w:val="0"/>
                      <w:marRight w:val="0"/>
                      <w:marTop w:val="0"/>
                      <w:marBottom w:val="0"/>
                      <w:divBdr>
                        <w:top w:val="none" w:sz="0" w:space="0" w:color="auto"/>
                        <w:left w:val="none" w:sz="0" w:space="0" w:color="auto"/>
                        <w:bottom w:val="none" w:sz="0" w:space="0" w:color="auto"/>
                        <w:right w:val="none" w:sz="0" w:space="0" w:color="auto"/>
                      </w:divBdr>
                    </w:div>
                    <w:div w:id="1697465753">
                      <w:marLeft w:val="0"/>
                      <w:marRight w:val="0"/>
                      <w:marTop w:val="0"/>
                      <w:marBottom w:val="0"/>
                      <w:divBdr>
                        <w:top w:val="none" w:sz="0" w:space="0" w:color="auto"/>
                        <w:left w:val="none" w:sz="0" w:space="0" w:color="auto"/>
                        <w:bottom w:val="none" w:sz="0" w:space="0" w:color="auto"/>
                        <w:right w:val="none" w:sz="0" w:space="0" w:color="auto"/>
                      </w:divBdr>
                    </w:div>
                    <w:div w:id="548415461">
                      <w:marLeft w:val="0"/>
                      <w:marRight w:val="0"/>
                      <w:marTop w:val="0"/>
                      <w:marBottom w:val="0"/>
                      <w:divBdr>
                        <w:top w:val="none" w:sz="0" w:space="0" w:color="auto"/>
                        <w:left w:val="none" w:sz="0" w:space="0" w:color="auto"/>
                        <w:bottom w:val="none" w:sz="0" w:space="0" w:color="auto"/>
                        <w:right w:val="none" w:sz="0" w:space="0" w:color="auto"/>
                      </w:divBdr>
                    </w:div>
                    <w:div w:id="396100387">
                      <w:marLeft w:val="0"/>
                      <w:marRight w:val="0"/>
                      <w:marTop w:val="0"/>
                      <w:marBottom w:val="0"/>
                      <w:divBdr>
                        <w:top w:val="none" w:sz="0" w:space="0" w:color="auto"/>
                        <w:left w:val="none" w:sz="0" w:space="0" w:color="auto"/>
                        <w:bottom w:val="none" w:sz="0" w:space="0" w:color="auto"/>
                        <w:right w:val="none" w:sz="0" w:space="0" w:color="auto"/>
                      </w:divBdr>
                    </w:div>
                    <w:div w:id="1406686259">
                      <w:marLeft w:val="0"/>
                      <w:marRight w:val="0"/>
                      <w:marTop w:val="0"/>
                      <w:marBottom w:val="0"/>
                      <w:divBdr>
                        <w:top w:val="none" w:sz="0" w:space="0" w:color="auto"/>
                        <w:left w:val="none" w:sz="0" w:space="0" w:color="auto"/>
                        <w:bottom w:val="none" w:sz="0" w:space="0" w:color="auto"/>
                        <w:right w:val="none" w:sz="0" w:space="0" w:color="auto"/>
                      </w:divBdr>
                    </w:div>
                    <w:div w:id="1250892242">
                      <w:marLeft w:val="0"/>
                      <w:marRight w:val="0"/>
                      <w:marTop w:val="0"/>
                      <w:marBottom w:val="0"/>
                      <w:divBdr>
                        <w:top w:val="none" w:sz="0" w:space="0" w:color="auto"/>
                        <w:left w:val="none" w:sz="0" w:space="0" w:color="auto"/>
                        <w:bottom w:val="none" w:sz="0" w:space="0" w:color="auto"/>
                        <w:right w:val="none" w:sz="0" w:space="0" w:color="auto"/>
                      </w:divBdr>
                    </w:div>
                    <w:div w:id="775060745">
                      <w:marLeft w:val="0"/>
                      <w:marRight w:val="0"/>
                      <w:marTop w:val="0"/>
                      <w:marBottom w:val="0"/>
                      <w:divBdr>
                        <w:top w:val="none" w:sz="0" w:space="0" w:color="auto"/>
                        <w:left w:val="none" w:sz="0" w:space="0" w:color="auto"/>
                        <w:bottom w:val="none" w:sz="0" w:space="0" w:color="auto"/>
                        <w:right w:val="none" w:sz="0" w:space="0" w:color="auto"/>
                      </w:divBdr>
                    </w:div>
                    <w:div w:id="1587762371">
                      <w:marLeft w:val="0"/>
                      <w:marRight w:val="0"/>
                      <w:marTop w:val="0"/>
                      <w:marBottom w:val="0"/>
                      <w:divBdr>
                        <w:top w:val="none" w:sz="0" w:space="0" w:color="auto"/>
                        <w:left w:val="none" w:sz="0" w:space="0" w:color="auto"/>
                        <w:bottom w:val="none" w:sz="0" w:space="0" w:color="auto"/>
                        <w:right w:val="none" w:sz="0" w:space="0" w:color="auto"/>
                      </w:divBdr>
                    </w:div>
                    <w:div w:id="1294796935">
                      <w:marLeft w:val="0"/>
                      <w:marRight w:val="0"/>
                      <w:marTop w:val="0"/>
                      <w:marBottom w:val="0"/>
                      <w:divBdr>
                        <w:top w:val="none" w:sz="0" w:space="0" w:color="auto"/>
                        <w:left w:val="none" w:sz="0" w:space="0" w:color="auto"/>
                        <w:bottom w:val="none" w:sz="0" w:space="0" w:color="auto"/>
                        <w:right w:val="none" w:sz="0" w:space="0" w:color="auto"/>
                      </w:divBdr>
                    </w:div>
                    <w:div w:id="531918581">
                      <w:marLeft w:val="0"/>
                      <w:marRight w:val="0"/>
                      <w:marTop w:val="0"/>
                      <w:marBottom w:val="0"/>
                      <w:divBdr>
                        <w:top w:val="none" w:sz="0" w:space="0" w:color="auto"/>
                        <w:left w:val="none" w:sz="0" w:space="0" w:color="auto"/>
                        <w:bottom w:val="none" w:sz="0" w:space="0" w:color="auto"/>
                        <w:right w:val="none" w:sz="0" w:space="0" w:color="auto"/>
                      </w:divBdr>
                    </w:div>
                    <w:div w:id="1320426790">
                      <w:marLeft w:val="0"/>
                      <w:marRight w:val="0"/>
                      <w:marTop w:val="0"/>
                      <w:marBottom w:val="0"/>
                      <w:divBdr>
                        <w:top w:val="none" w:sz="0" w:space="0" w:color="auto"/>
                        <w:left w:val="none" w:sz="0" w:space="0" w:color="auto"/>
                        <w:bottom w:val="none" w:sz="0" w:space="0" w:color="auto"/>
                        <w:right w:val="none" w:sz="0" w:space="0" w:color="auto"/>
                      </w:divBdr>
                    </w:div>
                    <w:div w:id="1320110321">
                      <w:marLeft w:val="0"/>
                      <w:marRight w:val="0"/>
                      <w:marTop w:val="0"/>
                      <w:marBottom w:val="0"/>
                      <w:divBdr>
                        <w:top w:val="none" w:sz="0" w:space="0" w:color="auto"/>
                        <w:left w:val="none" w:sz="0" w:space="0" w:color="auto"/>
                        <w:bottom w:val="none" w:sz="0" w:space="0" w:color="auto"/>
                        <w:right w:val="none" w:sz="0" w:space="0" w:color="auto"/>
                      </w:divBdr>
                    </w:div>
                    <w:div w:id="1492793871">
                      <w:marLeft w:val="0"/>
                      <w:marRight w:val="0"/>
                      <w:marTop w:val="0"/>
                      <w:marBottom w:val="0"/>
                      <w:divBdr>
                        <w:top w:val="none" w:sz="0" w:space="0" w:color="auto"/>
                        <w:left w:val="none" w:sz="0" w:space="0" w:color="auto"/>
                        <w:bottom w:val="none" w:sz="0" w:space="0" w:color="auto"/>
                        <w:right w:val="none" w:sz="0" w:space="0" w:color="auto"/>
                      </w:divBdr>
                    </w:div>
                    <w:div w:id="1796290575">
                      <w:marLeft w:val="0"/>
                      <w:marRight w:val="0"/>
                      <w:marTop w:val="0"/>
                      <w:marBottom w:val="0"/>
                      <w:divBdr>
                        <w:top w:val="none" w:sz="0" w:space="0" w:color="auto"/>
                        <w:left w:val="none" w:sz="0" w:space="0" w:color="auto"/>
                        <w:bottom w:val="none" w:sz="0" w:space="0" w:color="auto"/>
                        <w:right w:val="none" w:sz="0" w:space="0" w:color="auto"/>
                      </w:divBdr>
                    </w:div>
                    <w:div w:id="806162196">
                      <w:marLeft w:val="0"/>
                      <w:marRight w:val="0"/>
                      <w:marTop w:val="0"/>
                      <w:marBottom w:val="0"/>
                      <w:divBdr>
                        <w:top w:val="none" w:sz="0" w:space="0" w:color="auto"/>
                        <w:left w:val="none" w:sz="0" w:space="0" w:color="auto"/>
                        <w:bottom w:val="none" w:sz="0" w:space="0" w:color="auto"/>
                        <w:right w:val="none" w:sz="0" w:space="0" w:color="auto"/>
                      </w:divBdr>
                    </w:div>
                    <w:div w:id="84033675">
                      <w:marLeft w:val="0"/>
                      <w:marRight w:val="0"/>
                      <w:marTop w:val="0"/>
                      <w:marBottom w:val="0"/>
                      <w:divBdr>
                        <w:top w:val="none" w:sz="0" w:space="0" w:color="auto"/>
                        <w:left w:val="none" w:sz="0" w:space="0" w:color="auto"/>
                        <w:bottom w:val="none" w:sz="0" w:space="0" w:color="auto"/>
                        <w:right w:val="none" w:sz="0" w:space="0" w:color="auto"/>
                      </w:divBdr>
                    </w:div>
                    <w:div w:id="769081527">
                      <w:marLeft w:val="0"/>
                      <w:marRight w:val="0"/>
                      <w:marTop w:val="0"/>
                      <w:marBottom w:val="0"/>
                      <w:divBdr>
                        <w:top w:val="none" w:sz="0" w:space="0" w:color="auto"/>
                        <w:left w:val="none" w:sz="0" w:space="0" w:color="auto"/>
                        <w:bottom w:val="none" w:sz="0" w:space="0" w:color="auto"/>
                        <w:right w:val="none" w:sz="0" w:space="0" w:color="auto"/>
                      </w:divBdr>
                    </w:div>
                    <w:div w:id="1327397952">
                      <w:marLeft w:val="0"/>
                      <w:marRight w:val="0"/>
                      <w:marTop w:val="0"/>
                      <w:marBottom w:val="0"/>
                      <w:divBdr>
                        <w:top w:val="none" w:sz="0" w:space="0" w:color="auto"/>
                        <w:left w:val="none" w:sz="0" w:space="0" w:color="auto"/>
                        <w:bottom w:val="none" w:sz="0" w:space="0" w:color="auto"/>
                        <w:right w:val="none" w:sz="0" w:space="0" w:color="auto"/>
                      </w:divBdr>
                    </w:div>
                    <w:div w:id="1432508081">
                      <w:marLeft w:val="0"/>
                      <w:marRight w:val="0"/>
                      <w:marTop w:val="0"/>
                      <w:marBottom w:val="0"/>
                      <w:divBdr>
                        <w:top w:val="none" w:sz="0" w:space="0" w:color="auto"/>
                        <w:left w:val="none" w:sz="0" w:space="0" w:color="auto"/>
                        <w:bottom w:val="none" w:sz="0" w:space="0" w:color="auto"/>
                        <w:right w:val="none" w:sz="0" w:space="0" w:color="auto"/>
                      </w:divBdr>
                    </w:div>
                    <w:div w:id="1934623614">
                      <w:marLeft w:val="0"/>
                      <w:marRight w:val="0"/>
                      <w:marTop w:val="0"/>
                      <w:marBottom w:val="0"/>
                      <w:divBdr>
                        <w:top w:val="none" w:sz="0" w:space="0" w:color="auto"/>
                        <w:left w:val="none" w:sz="0" w:space="0" w:color="auto"/>
                        <w:bottom w:val="none" w:sz="0" w:space="0" w:color="auto"/>
                        <w:right w:val="none" w:sz="0" w:space="0" w:color="auto"/>
                      </w:divBdr>
                    </w:div>
                    <w:div w:id="342318473">
                      <w:marLeft w:val="0"/>
                      <w:marRight w:val="0"/>
                      <w:marTop w:val="0"/>
                      <w:marBottom w:val="0"/>
                      <w:divBdr>
                        <w:top w:val="none" w:sz="0" w:space="0" w:color="auto"/>
                        <w:left w:val="none" w:sz="0" w:space="0" w:color="auto"/>
                        <w:bottom w:val="none" w:sz="0" w:space="0" w:color="auto"/>
                        <w:right w:val="none" w:sz="0" w:space="0" w:color="auto"/>
                      </w:divBdr>
                    </w:div>
                    <w:div w:id="1800955702">
                      <w:marLeft w:val="0"/>
                      <w:marRight w:val="0"/>
                      <w:marTop w:val="0"/>
                      <w:marBottom w:val="0"/>
                      <w:divBdr>
                        <w:top w:val="none" w:sz="0" w:space="0" w:color="auto"/>
                        <w:left w:val="none" w:sz="0" w:space="0" w:color="auto"/>
                        <w:bottom w:val="none" w:sz="0" w:space="0" w:color="auto"/>
                        <w:right w:val="none" w:sz="0" w:space="0" w:color="auto"/>
                      </w:divBdr>
                    </w:div>
                    <w:div w:id="936132354">
                      <w:marLeft w:val="0"/>
                      <w:marRight w:val="0"/>
                      <w:marTop w:val="0"/>
                      <w:marBottom w:val="0"/>
                      <w:divBdr>
                        <w:top w:val="none" w:sz="0" w:space="0" w:color="auto"/>
                        <w:left w:val="none" w:sz="0" w:space="0" w:color="auto"/>
                        <w:bottom w:val="none" w:sz="0" w:space="0" w:color="auto"/>
                        <w:right w:val="none" w:sz="0" w:space="0" w:color="auto"/>
                      </w:divBdr>
                    </w:div>
                    <w:div w:id="1513375197">
                      <w:marLeft w:val="0"/>
                      <w:marRight w:val="0"/>
                      <w:marTop w:val="0"/>
                      <w:marBottom w:val="0"/>
                      <w:divBdr>
                        <w:top w:val="none" w:sz="0" w:space="0" w:color="auto"/>
                        <w:left w:val="none" w:sz="0" w:space="0" w:color="auto"/>
                        <w:bottom w:val="none" w:sz="0" w:space="0" w:color="auto"/>
                        <w:right w:val="none" w:sz="0" w:space="0" w:color="auto"/>
                      </w:divBdr>
                    </w:div>
                    <w:div w:id="14667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094529">
      <w:bodyDiv w:val="1"/>
      <w:marLeft w:val="0"/>
      <w:marRight w:val="0"/>
      <w:marTop w:val="0"/>
      <w:marBottom w:val="0"/>
      <w:divBdr>
        <w:top w:val="none" w:sz="0" w:space="0" w:color="auto"/>
        <w:left w:val="none" w:sz="0" w:space="0" w:color="auto"/>
        <w:bottom w:val="none" w:sz="0" w:space="0" w:color="auto"/>
        <w:right w:val="none" w:sz="0" w:space="0" w:color="auto"/>
      </w:divBdr>
    </w:div>
    <w:div w:id="1393581409">
      <w:bodyDiv w:val="1"/>
      <w:marLeft w:val="0"/>
      <w:marRight w:val="0"/>
      <w:marTop w:val="0"/>
      <w:marBottom w:val="0"/>
      <w:divBdr>
        <w:top w:val="none" w:sz="0" w:space="0" w:color="auto"/>
        <w:left w:val="none" w:sz="0" w:space="0" w:color="auto"/>
        <w:bottom w:val="none" w:sz="0" w:space="0" w:color="auto"/>
        <w:right w:val="none" w:sz="0" w:space="0" w:color="auto"/>
      </w:divBdr>
    </w:div>
    <w:div w:id="1478379185">
      <w:bodyDiv w:val="1"/>
      <w:marLeft w:val="0"/>
      <w:marRight w:val="0"/>
      <w:marTop w:val="0"/>
      <w:marBottom w:val="0"/>
      <w:divBdr>
        <w:top w:val="none" w:sz="0" w:space="0" w:color="auto"/>
        <w:left w:val="none" w:sz="0" w:space="0" w:color="auto"/>
        <w:bottom w:val="none" w:sz="0" w:space="0" w:color="auto"/>
        <w:right w:val="none" w:sz="0" w:space="0" w:color="auto"/>
      </w:divBdr>
    </w:div>
    <w:div w:id="1597589366">
      <w:bodyDiv w:val="1"/>
      <w:marLeft w:val="0"/>
      <w:marRight w:val="0"/>
      <w:marTop w:val="0"/>
      <w:marBottom w:val="0"/>
      <w:divBdr>
        <w:top w:val="none" w:sz="0" w:space="0" w:color="auto"/>
        <w:left w:val="none" w:sz="0" w:space="0" w:color="auto"/>
        <w:bottom w:val="none" w:sz="0" w:space="0" w:color="auto"/>
        <w:right w:val="none" w:sz="0" w:space="0" w:color="auto"/>
      </w:divBdr>
    </w:div>
    <w:div w:id="1790273592">
      <w:bodyDiv w:val="1"/>
      <w:marLeft w:val="0"/>
      <w:marRight w:val="0"/>
      <w:marTop w:val="0"/>
      <w:marBottom w:val="0"/>
      <w:divBdr>
        <w:top w:val="none" w:sz="0" w:space="0" w:color="auto"/>
        <w:left w:val="none" w:sz="0" w:space="0" w:color="auto"/>
        <w:bottom w:val="none" w:sz="0" w:space="0" w:color="auto"/>
        <w:right w:val="none" w:sz="0" w:space="0" w:color="auto"/>
      </w:divBdr>
    </w:div>
    <w:div w:id="1937320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style val="3"/>
  <c:chart>
    <c:title>
      <c:tx>
        <c:rich>
          <a:bodyPr rot="0" vert="horz"/>
          <a:lstStyle/>
          <a:p>
            <a:pPr>
              <a:defRPr/>
            </a:pPr>
            <a:r>
              <a:rPr lang="en-US"/>
              <a:t>2022</a:t>
            </a:r>
            <a:r>
              <a:rPr lang="zh-CN"/>
              <a:t>年</a:t>
            </a:r>
            <a:r>
              <a:rPr lang="en-US"/>
              <a:t>1-6</a:t>
            </a:r>
            <a:r>
              <a:rPr lang="zh-CN"/>
              <a:t>月珲春林区基层法院收结存总体同比情况</a:t>
            </a:r>
          </a:p>
        </c:rich>
      </c:tx>
    </c:title>
    <c:plotArea>
      <c:layout>
        <c:manualLayout>
          <c:layoutTarget val="inner"/>
          <c:xMode val="edge"/>
          <c:yMode val="edge"/>
          <c:x val="6.0989178678246617E-2"/>
          <c:y val="0.29582911366848397"/>
          <c:w val="0.90135855111134056"/>
          <c:h val="0.61673884514435695"/>
        </c:manualLayout>
      </c:layout>
      <c:barChart>
        <c:barDir val="col"/>
        <c:grouping val="clustered"/>
        <c:ser>
          <c:idx val="0"/>
          <c:order val="0"/>
          <c:tx>
            <c:strRef>
              <c:f>Sheet1!$B$1</c:f>
              <c:strCache>
                <c:ptCount val="1"/>
                <c:pt idx="0">
                  <c:v>2022年1-6月</c:v>
                </c:pt>
              </c:strCache>
            </c:strRef>
          </c:tx>
          <c:dLbls>
            <c:txPr>
              <a:bodyPr rot="0" vert="horz"/>
              <a:lstStyle/>
              <a:p>
                <a:pPr>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旧存</c:v>
                </c:pt>
                <c:pt idx="1">
                  <c:v>新收</c:v>
                </c:pt>
                <c:pt idx="2">
                  <c:v>未结</c:v>
                </c:pt>
                <c:pt idx="3">
                  <c:v>已结</c:v>
                </c:pt>
              </c:strCache>
            </c:strRef>
          </c:cat>
          <c:val>
            <c:numRef>
              <c:f>Sheet1!$B$2:$B$5</c:f>
              <c:numCache>
                <c:formatCode>General</c:formatCode>
                <c:ptCount val="4"/>
                <c:pt idx="0">
                  <c:v>0</c:v>
                </c:pt>
                <c:pt idx="1">
                  <c:v>64</c:v>
                </c:pt>
                <c:pt idx="2">
                  <c:v>3</c:v>
                </c:pt>
                <c:pt idx="3">
                  <c:v>61</c:v>
                </c:pt>
              </c:numCache>
            </c:numRef>
          </c:val>
        </c:ser>
        <c:ser>
          <c:idx val="1"/>
          <c:order val="1"/>
          <c:tx>
            <c:strRef>
              <c:f>Sheet1!$C$1</c:f>
              <c:strCache>
                <c:ptCount val="1"/>
                <c:pt idx="0">
                  <c:v>2021年1-6月</c:v>
                </c:pt>
              </c:strCache>
            </c:strRef>
          </c:tx>
          <c:dLbls>
            <c:dLbl>
              <c:idx val="0"/>
              <c:layout>
                <c:manualLayout>
                  <c:x val="4.8611111111111133E-2"/>
                  <c:y val="-2.3809523809524016E-2"/>
                </c:manualLayout>
              </c:layout>
              <c:dLblPos val="outEnd"/>
              <c:showVal val="1"/>
            </c:dLbl>
            <c:dLbl>
              <c:idx val="1"/>
              <c:layout>
                <c:manualLayout>
                  <c:x val="3.9351851851851805E-2"/>
                  <c:y val="-1.9841269841270676E-2"/>
                </c:manualLayout>
              </c:layout>
              <c:dLblPos val="outEnd"/>
              <c:showVal val="1"/>
            </c:dLbl>
            <c:dLbl>
              <c:idx val="2"/>
              <c:layout>
                <c:manualLayout>
                  <c:x val="3.472222222222221E-2"/>
                  <c:y val="-7.275048233155888E-17"/>
                </c:manualLayout>
              </c:layout>
              <c:dLblPos val="outEnd"/>
              <c:showVal val="1"/>
            </c:dLbl>
            <c:dLbl>
              <c:idx val="3"/>
              <c:layout>
                <c:manualLayout>
                  <c:x val="6.0185185185185085E-2"/>
                  <c:y val="-7.9365079365079534E-3"/>
                </c:manualLayout>
              </c:layout>
              <c:dLblPos val="outEnd"/>
              <c:showVal val="1"/>
            </c:dLbl>
            <c:txPr>
              <a:bodyPr rot="0" vert="horz"/>
              <a:lstStyle/>
              <a:p>
                <a:pPr>
                  <a:defRPr/>
                </a:pPr>
                <a:endParaRPr lang="zh-CN"/>
              </a:p>
            </c:txPr>
            <c:dLblPos val="outEnd"/>
            <c:showVal val="1"/>
            <c:extLst>
              <c:ext xmlns:c15="http://schemas.microsoft.com/office/drawing/2012/chart" uri="{CE6537A1-D6FC-4f65-9D91-7224C49458BB}">
                <c15:layout/>
                <c15:showLeaderLines val="1"/>
                <c15:leaderLines>
                  <c:spPr>
                    <a:ln w="9525" cap="flat" cmpd="sng" algn="ctr">
                      <a:noFill/>
                      <a:prstDash val="solid"/>
                      <a:round/>
                    </a:ln>
                    <a:effectLst/>
                  </c:spPr>
                </c15:leaderLines>
              </c:ext>
            </c:extLst>
          </c:dLbls>
          <c:cat>
            <c:strRef>
              <c:f>Sheet1!$A$2:$A$5</c:f>
              <c:strCache>
                <c:ptCount val="4"/>
                <c:pt idx="0">
                  <c:v>旧存</c:v>
                </c:pt>
                <c:pt idx="1">
                  <c:v>新收</c:v>
                </c:pt>
                <c:pt idx="2">
                  <c:v>未结</c:v>
                </c:pt>
                <c:pt idx="3">
                  <c:v>已结</c:v>
                </c:pt>
              </c:strCache>
            </c:strRef>
          </c:cat>
          <c:val>
            <c:numRef>
              <c:f>Sheet1!$C$2:$C$5</c:f>
              <c:numCache>
                <c:formatCode>General</c:formatCode>
                <c:ptCount val="4"/>
                <c:pt idx="0">
                  <c:v>0</c:v>
                </c:pt>
                <c:pt idx="1">
                  <c:v>92</c:v>
                </c:pt>
                <c:pt idx="2">
                  <c:v>1</c:v>
                </c:pt>
                <c:pt idx="3">
                  <c:v>91</c:v>
                </c:pt>
              </c:numCache>
            </c:numRef>
          </c:val>
        </c:ser>
        <c:dLbls>
          <c:showVal val="1"/>
        </c:dLbls>
        <c:axId val="115641344"/>
        <c:axId val="115651712"/>
      </c:barChart>
      <c:catAx>
        <c:axId val="115641344"/>
        <c:scaling>
          <c:orientation val="minMax"/>
        </c:scaling>
        <c:axPos val="b"/>
        <c:numFmt formatCode="General" sourceLinked="1"/>
        <c:majorTickMark val="none"/>
        <c:tickLblPos val="nextTo"/>
        <c:txPr>
          <a:bodyPr rot="-60000000" vert="horz"/>
          <a:lstStyle/>
          <a:p>
            <a:pPr>
              <a:defRPr/>
            </a:pPr>
            <a:endParaRPr lang="zh-CN"/>
          </a:p>
        </c:txPr>
        <c:crossAx val="115651712"/>
        <c:crosses val="autoZero"/>
        <c:auto val="1"/>
        <c:lblAlgn val="ctr"/>
        <c:lblOffset val="100"/>
      </c:catAx>
      <c:valAx>
        <c:axId val="115651712"/>
        <c:scaling>
          <c:orientation val="minMax"/>
        </c:scaling>
        <c:axPos val="l"/>
        <c:majorGridlines/>
        <c:numFmt formatCode="General" sourceLinked="1"/>
        <c:majorTickMark val="none"/>
        <c:tickLblPos val="nextTo"/>
        <c:txPr>
          <a:bodyPr rot="-60000000" vert="horz"/>
          <a:lstStyle/>
          <a:p>
            <a:pPr>
              <a:defRPr/>
            </a:pPr>
            <a:endParaRPr lang="zh-CN"/>
          </a:p>
        </c:txPr>
        <c:crossAx val="115641344"/>
        <c:crosses val="autoZero"/>
        <c:crossBetween val="between"/>
      </c:valAx>
    </c:plotArea>
    <c:legend>
      <c:legendPos val="t"/>
      <c:layout>
        <c:manualLayout>
          <c:xMode val="edge"/>
          <c:yMode val="edge"/>
          <c:x val="0.31600474359309738"/>
          <c:y val="0.20241760549162138"/>
          <c:w val="0.33932177082516152"/>
          <c:h val="6.6964754405699281E-2"/>
        </c:manualLayout>
      </c:layout>
      <c:txPr>
        <a:bodyPr rot="0" vert="horz"/>
        <a:lstStyle/>
        <a:p>
          <a:pPr>
            <a:defRPr/>
          </a:pPr>
          <a:endParaRPr lang="zh-CN"/>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style val="5"/>
  <c:chart>
    <c:title>
      <c:tx>
        <c:rich>
          <a:bodyPr rot="0" vert="horz"/>
          <a:lstStyle/>
          <a:p>
            <a:pPr>
              <a:defRPr/>
            </a:pPr>
            <a:r>
              <a:rPr lang="en-US"/>
              <a:t>2022</a:t>
            </a:r>
            <a:r>
              <a:rPr lang="zh-CN"/>
              <a:t>年</a:t>
            </a:r>
            <a:r>
              <a:rPr lang="en-US"/>
              <a:t>1-6</a:t>
            </a:r>
            <a:r>
              <a:rPr lang="zh-CN"/>
              <a:t>月珲春林区基层法院</a:t>
            </a:r>
            <a:endParaRPr lang="en-US"/>
          </a:p>
          <a:p>
            <a:pPr>
              <a:defRPr/>
            </a:pPr>
            <a:r>
              <a:rPr lang="zh-CN"/>
              <a:t>诉讼案件收结存同比情况</a:t>
            </a:r>
          </a:p>
        </c:rich>
      </c:tx>
      <c:layout>
        <c:manualLayout>
          <c:xMode val="edge"/>
          <c:yMode val="edge"/>
          <c:x val="0.29688081793747284"/>
          <c:y val="4.6035938413791999E-2"/>
        </c:manualLayout>
      </c:layout>
    </c:title>
    <c:plotArea>
      <c:layout/>
      <c:barChart>
        <c:barDir val="col"/>
        <c:grouping val="clustered"/>
        <c:ser>
          <c:idx val="0"/>
          <c:order val="0"/>
          <c:tx>
            <c:strRef>
              <c:f>Sheet1!$B$1</c:f>
              <c:strCache>
                <c:ptCount val="1"/>
                <c:pt idx="0">
                  <c:v>2022年1-6月</c:v>
                </c:pt>
              </c:strCache>
            </c:strRef>
          </c:tx>
          <c:dLbls>
            <c:txPr>
              <a:bodyPr rot="0" vert="horz"/>
              <a:lstStyle/>
              <a:p>
                <a:pPr>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旧存</c:v>
                </c:pt>
                <c:pt idx="1">
                  <c:v>新收</c:v>
                </c:pt>
                <c:pt idx="2">
                  <c:v>未结</c:v>
                </c:pt>
                <c:pt idx="3">
                  <c:v>已结</c:v>
                </c:pt>
              </c:strCache>
            </c:strRef>
          </c:cat>
          <c:val>
            <c:numRef>
              <c:f>Sheet1!$B$2:$B$5</c:f>
              <c:numCache>
                <c:formatCode>General</c:formatCode>
                <c:ptCount val="4"/>
                <c:pt idx="0">
                  <c:v>0</c:v>
                </c:pt>
                <c:pt idx="1">
                  <c:v>19</c:v>
                </c:pt>
                <c:pt idx="2">
                  <c:v>0</c:v>
                </c:pt>
                <c:pt idx="3">
                  <c:v>19</c:v>
                </c:pt>
              </c:numCache>
            </c:numRef>
          </c:val>
        </c:ser>
        <c:ser>
          <c:idx val="1"/>
          <c:order val="1"/>
          <c:tx>
            <c:strRef>
              <c:f>Sheet1!$C$1</c:f>
              <c:strCache>
                <c:ptCount val="1"/>
                <c:pt idx="0">
                  <c:v>2021年1-6月</c:v>
                </c:pt>
              </c:strCache>
            </c:strRef>
          </c:tx>
          <c:dLbls>
            <c:dLbl>
              <c:idx val="0"/>
              <c:layout>
                <c:manualLayout>
                  <c:x val="2.7777777777780517E-2"/>
                  <c:y val="0"/>
                </c:manualLayout>
              </c:layout>
              <c:dLblPos val="outEnd"/>
              <c:showVal val="1"/>
            </c:dLbl>
            <c:dLbl>
              <c:idx val="1"/>
              <c:layout>
                <c:manualLayout>
                  <c:x val="3.4722222222222203E-2"/>
                  <c:y val="0"/>
                </c:manualLayout>
              </c:layout>
              <c:dLblPos val="outEnd"/>
              <c:showVal val="1"/>
            </c:dLbl>
            <c:dLbl>
              <c:idx val="2"/>
              <c:layout>
                <c:manualLayout>
                  <c:x val="3.2407407407409619E-2"/>
                  <c:y val="0"/>
                </c:manualLayout>
              </c:layout>
              <c:dLblPos val="outEnd"/>
              <c:showVal val="1"/>
            </c:dLbl>
            <c:dLbl>
              <c:idx val="3"/>
              <c:layout>
                <c:manualLayout>
                  <c:x val="3.2407407407409619E-2"/>
                  <c:y val="-1.1904761904761921E-2"/>
                </c:manualLayout>
              </c:layout>
              <c:dLblPos val="outEnd"/>
              <c:showVal val="1"/>
            </c:dLbl>
            <c:txPr>
              <a:bodyPr rot="0" vert="horz"/>
              <a:lstStyle/>
              <a:p>
                <a:pPr>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旧存</c:v>
                </c:pt>
                <c:pt idx="1">
                  <c:v>新收</c:v>
                </c:pt>
                <c:pt idx="2">
                  <c:v>未结</c:v>
                </c:pt>
                <c:pt idx="3">
                  <c:v>已结</c:v>
                </c:pt>
              </c:strCache>
            </c:strRef>
          </c:cat>
          <c:val>
            <c:numRef>
              <c:f>Sheet1!$C$2:$C$5</c:f>
              <c:numCache>
                <c:formatCode>General</c:formatCode>
                <c:ptCount val="4"/>
                <c:pt idx="0">
                  <c:v>0</c:v>
                </c:pt>
                <c:pt idx="1">
                  <c:v>33</c:v>
                </c:pt>
                <c:pt idx="2">
                  <c:v>1</c:v>
                </c:pt>
                <c:pt idx="3">
                  <c:v>32</c:v>
                </c:pt>
              </c:numCache>
            </c:numRef>
          </c:val>
        </c:ser>
        <c:dLbls>
          <c:showVal val="1"/>
        </c:dLbls>
        <c:axId val="116735360"/>
        <c:axId val="133433600"/>
      </c:barChart>
      <c:catAx>
        <c:axId val="116735360"/>
        <c:scaling>
          <c:orientation val="minMax"/>
        </c:scaling>
        <c:axPos val="b"/>
        <c:numFmt formatCode="General" sourceLinked="1"/>
        <c:majorTickMark val="none"/>
        <c:tickLblPos val="nextTo"/>
        <c:txPr>
          <a:bodyPr rot="-60000000" vert="horz"/>
          <a:lstStyle/>
          <a:p>
            <a:pPr>
              <a:defRPr/>
            </a:pPr>
            <a:endParaRPr lang="zh-CN"/>
          </a:p>
        </c:txPr>
        <c:crossAx val="133433600"/>
        <c:crosses val="autoZero"/>
        <c:auto val="1"/>
        <c:lblAlgn val="ctr"/>
        <c:lblOffset val="100"/>
      </c:catAx>
      <c:valAx>
        <c:axId val="133433600"/>
        <c:scaling>
          <c:orientation val="minMax"/>
        </c:scaling>
        <c:axPos val="l"/>
        <c:majorGridlines/>
        <c:numFmt formatCode="General" sourceLinked="1"/>
        <c:majorTickMark val="none"/>
        <c:tickLblPos val="nextTo"/>
        <c:txPr>
          <a:bodyPr rot="-60000000" vert="horz"/>
          <a:lstStyle/>
          <a:p>
            <a:pPr>
              <a:defRPr/>
            </a:pPr>
            <a:endParaRPr lang="zh-CN"/>
          </a:p>
        </c:txPr>
        <c:crossAx val="116735360"/>
        <c:crosses val="autoZero"/>
        <c:crossBetween val="between"/>
      </c:valAx>
    </c:plotArea>
    <c:legend>
      <c:legendPos val="t"/>
      <c:txPr>
        <a:bodyPr rot="0" vert="horz"/>
        <a:lstStyle/>
        <a:p>
          <a:pPr>
            <a:defRPr/>
          </a:pPr>
          <a:endParaRPr lang="zh-CN"/>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style val="8"/>
  <c:chart>
    <c:title>
      <c:tx>
        <c:rich>
          <a:bodyPr rot="0" vert="horz"/>
          <a:lstStyle/>
          <a:p>
            <a:pPr>
              <a:defRPr/>
            </a:pPr>
            <a:r>
              <a:rPr lang="en-US"/>
              <a:t>2022</a:t>
            </a:r>
            <a:r>
              <a:rPr lang="zh-CN"/>
              <a:t>年</a:t>
            </a:r>
            <a:r>
              <a:rPr lang="en-US"/>
              <a:t>1-6</a:t>
            </a:r>
            <a:r>
              <a:rPr lang="zh-CN"/>
              <a:t>月珲春林区基层法院</a:t>
            </a:r>
            <a:endParaRPr lang="en-US"/>
          </a:p>
          <a:p>
            <a:pPr>
              <a:defRPr/>
            </a:pPr>
            <a:r>
              <a:rPr lang="zh-CN"/>
              <a:t>执行案件收结存同比情况</a:t>
            </a:r>
          </a:p>
        </c:rich>
      </c:tx>
      <c:layout>
        <c:manualLayout>
          <c:xMode val="edge"/>
          <c:yMode val="edge"/>
          <c:x val="0.21806539807524492"/>
          <c:y val="4.4167906332555414E-2"/>
        </c:manualLayout>
      </c:layout>
    </c:title>
    <c:plotArea>
      <c:layout/>
      <c:barChart>
        <c:barDir val="col"/>
        <c:grouping val="clustered"/>
        <c:ser>
          <c:idx val="0"/>
          <c:order val="0"/>
          <c:tx>
            <c:strRef>
              <c:f>Sheet1!$B$1</c:f>
              <c:strCache>
                <c:ptCount val="1"/>
                <c:pt idx="0">
                  <c:v>2022年1-6月</c:v>
                </c:pt>
              </c:strCache>
            </c:strRef>
          </c:tx>
          <c:dLbls>
            <c:txPr>
              <a:bodyPr rot="0" vert="horz"/>
              <a:lstStyle/>
              <a:p>
                <a:pPr>
                  <a:defRPr/>
                </a:pPr>
                <a:endParaRPr lang="zh-CN"/>
              </a:p>
            </c:txPr>
            <c:dLblPos val="outEnd"/>
            <c:showVal val="1"/>
            <c:extLst>
              <c:ext xmlns:c15="http://schemas.microsoft.com/office/drawing/2012/chart" uri="{CE6537A1-D6FC-4f65-9D91-7224C49458BB}">
                <c15:layout/>
                <c15:showLeaderLines val="0"/>
                <c15:leaderLines/>
              </c:ext>
            </c:extLst>
          </c:dLbls>
          <c:cat>
            <c:strRef>
              <c:f>Sheet1!$A$2:$A$5</c:f>
              <c:strCache>
                <c:ptCount val="4"/>
                <c:pt idx="0">
                  <c:v>旧存</c:v>
                </c:pt>
                <c:pt idx="1">
                  <c:v>新收</c:v>
                </c:pt>
                <c:pt idx="2">
                  <c:v>未结</c:v>
                </c:pt>
                <c:pt idx="3">
                  <c:v>已结</c:v>
                </c:pt>
              </c:strCache>
            </c:strRef>
          </c:cat>
          <c:val>
            <c:numRef>
              <c:f>Sheet1!$B$2:$B$5</c:f>
              <c:numCache>
                <c:formatCode>General</c:formatCode>
                <c:ptCount val="4"/>
                <c:pt idx="0">
                  <c:v>0</c:v>
                </c:pt>
                <c:pt idx="1">
                  <c:v>45</c:v>
                </c:pt>
                <c:pt idx="2">
                  <c:v>3</c:v>
                </c:pt>
                <c:pt idx="3">
                  <c:v>42</c:v>
                </c:pt>
              </c:numCache>
            </c:numRef>
          </c:val>
        </c:ser>
        <c:ser>
          <c:idx val="1"/>
          <c:order val="1"/>
          <c:tx>
            <c:strRef>
              <c:f>Sheet1!$C$1</c:f>
              <c:strCache>
                <c:ptCount val="1"/>
                <c:pt idx="0">
                  <c:v>2021年1-6月</c:v>
                </c:pt>
              </c:strCache>
            </c:strRef>
          </c:tx>
          <c:dLbls>
            <c:txPr>
              <a:bodyPr rot="0" vert="horz"/>
              <a:lstStyle/>
              <a:p>
                <a:pPr>
                  <a:defRPr/>
                </a:pPr>
                <a:endParaRPr lang="zh-CN"/>
              </a:p>
            </c:txPr>
            <c:dLblPos val="outEnd"/>
            <c:showVal val="1"/>
            <c:extLst>
              <c:ext xmlns:c15="http://schemas.microsoft.com/office/drawing/2012/chart" uri="{CE6537A1-D6FC-4f65-9D91-7224C49458BB}">
                <c15:layout/>
                <c15:showLeaderLines val="0"/>
                <c15:leaderLines/>
              </c:ext>
            </c:extLst>
          </c:dLbls>
          <c:cat>
            <c:strRef>
              <c:f>Sheet1!$A$2:$A$5</c:f>
              <c:strCache>
                <c:ptCount val="4"/>
                <c:pt idx="0">
                  <c:v>旧存</c:v>
                </c:pt>
                <c:pt idx="1">
                  <c:v>新收</c:v>
                </c:pt>
                <c:pt idx="2">
                  <c:v>未结</c:v>
                </c:pt>
                <c:pt idx="3">
                  <c:v>已结</c:v>
                </c:pt>
              </c:strCache>
            </c:strRef>
          </c:cat>
          <c:val>
            <c:numRef>
              <c:f>Sheet1!$C$2:$C$5</c:f>
              <c:numCache>
                <c:formatCode>General</c:formatCode>
                <c:ptCount val="4"/>
                <c:pt idx="0">
                  <c:v>0</c:v>
                </c:pt>
                <c:pt idx="1">
                  <c:v>59</c:v>
                </c:pt>
                <c:pt idx="2">
                  <c:v>0</c:v>
                </c:pt>
                <c:pt idx="3">
                  <c:v>59</c:v>
                </c:pt>
              </c:numCache>
            </c:numRef>
          </c:val>
        </c:ser>
        <c:dLbls>
          <c:showVal val="1"/>
        </c:dLbls>
        <c:axId val="149037440"/>
        <c:axId val="149038976"/>
      </c:barChart>
      <c:catAx>
        <c:axId val="149037440"/>
        <c:scaling>
          <c:orientation val="minMax"/>
        </c:scaling>
        <c:axPos val="b"/>
        <c:numFmt formatCode="General" sourceLinked="0"/>
        <c:majorTickMark val="none"/>
        <c:tickLblPos val="nextTo"/>
        <c:txPr>
          <a:bodyPr rot="-60000000" vert="horz"/>
          <a:lstStyle/>
          <a:p>
            <a:pPr>
              <a:defRPr/>
            </a:pPr>
            <a:endParaRPr lang="zh-CN"/>
          </a:p>
        </c:txPr>
        <c:crossAx val="149038976"/>
        <c:crosses val="autoZero"/>
        <c:auto val="1"/>
        <c:lblAlgn val="ctr"/>
        <c:lblOffset val="100"/>
      </c:catAx>
      <c:valAx>
        <c:axId val="149038976"/>
        <c:scaling>
          <c:orientation val="minMax"/>
        </c:scaling>
        <c:axPos val="l"/>
        <c:majorGridlines/>
        <c:numFmt formatCode="General" sourceLinked="1"/>
        <c:majorTickMark val="none"/>
        <c:tickLblPos val="nextTo"/>
        <c:txPr>
          <a:bodyPr rot="-60000000" vert="horz"/>
          <a:lstStyle/>
          <a:p>
            <a:pPr>
              <a:defRPr/>
            </a:pPr>
            <a:endParaRPr lang="zh-CN"/>
          </a:p>
        </c:txPr>
        <c:crossAx val="149037440"/>
        <c:crosses val="autoZero"/>
        <c:crossBetween val="between"/>
      </c:valAx>
    </c:plotArea>
    <c:legend>
      <c:legendPos val="r"/>
      <c:txPr>
        <a:bodyPr rot="0" vert="horz"/>
        <a:lstStyle/>
        <a:p>
          <a:pPr>
            <a:defRPr/>
          </a:pPr>
          <a:endParaRPr lang="zh-CN"/>
        </a:p>
      </c:txPr>
    </c:legend>
    <c:plotVisOnly val="1"/>
    <c:dispBlanksAs val="gap"/>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5FBCB5-26EF-4798-A957-6F83490FE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9</Pages>
  <Words>540</Words>
  <Characters>3078</Characters>
  <Application>Microsoft Office Word</Application>
  <DocSecurity>0</DocSecurity>
  <Lines>25</Lines>
  <Paragraphs>7</Paragraphs>
  <ScaleCrop>false</ScaleCrop>
  <Company>Micorosoft</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张昕</cp:lastModifiedBy>
  <cp:revision>8</cp:revision>
  <cp:lastPrinted>2020-01-03T05:32:00Z</cp:lastPrinted>
  <dcterms:created xsi:type="dcterms:W3CDTF">2022-01-04T06:14:00Z</dcterms:created>
  <dcterms:modified xsi:type="dcterms:W3CDTF">2022-07-06T01:18:00Z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